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86A45">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29.04.2026</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754</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Головний виконавч</w:t>
            </w:r>
            <w:r>
              <w:rPr>
                <w:rFonts w:ascii="Times New Roman CYR" w:hAnsi="Times New Roman CYR" w:cs="Times New Roman CYR"/>
                <w:sz w:val="24"/>
                <w:szCs w:val="24"/>
              </w:rPr>
              <w:t>ий директор</w:t>
            </w:r>
          </w:p>
        </w:tc>
        <w:tc>
          <w:tcPr>
            <w:tcW w:w="216"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Пирiг Р.В.</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F86A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Акцiонерне товариство "Кохавинська паперова фабрика" (22351935)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rsidR="00000000" w:rsidRDefault="00F86A45">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Рішення загальних зборів акціонерів від 09.04.2026, Протокол рiчних </w:t>
      </w:r>
      <w:r>
        <w:rPr>
          <w:rFonts w:ascii="Times New Roman CYR" w:hAnsi="Times New Roman CYR" w:cs="Times New Roman CYR"/>
          <w:sz w:val="24"/>
          <w:szCs w:val="24"/>
        </w:rPr>
        <w:t>дистанцiйних загальних зборiв акцiонерiв № 36</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w:t>
      </w:r>
      <w:r>
        <w:rPr>
          <w:rFonts w:ascii="Times New Roman CYR" w:hAnsi="Times New Roman CYR" w:cs="Times New Roman CYR"/>
          <w:sz w:val="24"/>
          <w:szCs w:val="24"/>
        </w:rPr>
        <w:t xml:space="preserve">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tc>
        <w:tc>
          <w:tcPr>
            <w:tcW w:w="1885" w:type="dxa"/>
            <w:tcBorders>
              <w:top w:val="nil"/>
              <w:left w:val="nil"/>
              <w:bottom w:val="single" w:sz="6" w:space="0" w:color="auto"/>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w:t>
      </w:r>
      <w:r>
        <w:rPr>
          <w:rFonts w:ascii="Times New Roman CYR" w:hAnsi="Times New Roman CYR" w:cs="Times New Roman CYR"/>
          <w:sz w:val="24"/>
          <w:szCs w:val="24"/>
        </w:rPr>
        <w:t>ство не випускало забезпечених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рейтинги не визначалися/оновлювалися.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w:t>
      </w:r>
      <w:r>
        <w:rPr>
          <w:rFonts w:ascii="Times New Roman CYR" w:hAnsi="Times New Roman CYR" w:cs="Times New Roman CYR"/>
          <w:sz w:val="24"/>
          <w:szCs w:val="24"/>
        </w:rPr>
        <w:t>рави не надається, тому що у звiтному перiодi судових справ, за якими розглядаються позовнi вимоги у розмiрi на суму 1 та бiльше вiдсоткiв активiв Товариства станом на початок звiтного року, не було.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шт</w:t>
      </w:r>
      <w:r>
        <w:rPr>
          <w:rFonts w:ascii="Times New Roman CYR" w:hAnsi="Times New Roman CYR" w:cs="Times New Roman CYR"/>
          <w:sz w:val="24"/>
          <w:szCs w:val="24"/>
        </w:rPr>
        <w:t>рафних санкцiй не було.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w:t>
      </w:r>
      <w:r>
        <w:rPr>
          <w:rFonts w:ascii="Times New Roman CYR" w:hAnsi="Times New Roman CYR" w:cs="Times New Roman CYR"/>
          <w:sz w:val="24"/>
          <w:szCs w:val="24"/>
        </w:rPr>
        <w:t>о роздiл, в якому потрiбно вказати iнформацiю про засновникiв на виконання вимог п. 2 ч. 3 ст. 126 Закону України "Про ринки капiталу та органiзованi товарнi ринки", така iнформацiя наводиться нижче:</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створене вiдповiдно до наказу Державного ком</w:t>
      </w:r>
      <w:r>
        <w:rPr>
          <w:rFonts w:ascii="Times New Roman CYR" w:hAnsi="Times New Roman CYR" w:cs="Times New Roman CYR"/>
          <w:sz w:val="24"/>
          <w:szCs w:val="24"/>
        </w:rPr>
        <w:t>iтету України з матерiальних ресурсiв № 238 вiд 15.12.1994 року "Про створення Кохавинської паперової фабрики Державного комiтету України з матерiальних ресурсiв". Свiдоцтво про державну реєстрацiю господарського формування Державного пiдприємства - Кохави</w:t>
      </w:r>
      <w:r>
        <w:rPr>
          <w:rFonts w:ascii="Times New Roman CYR" w:hAnsi="Times New Roman CYR" w:cs="Times New Roman CYR"/>
          <w:sz w:val="24"/>
          <w:szCs w:val="24"/>
        </w:rPr>
        <w:t>нська паперова фабрика, засновником якого є Державний комiтет України з матерiальних ресурсiв, реєстрацiйний № 22351935, розпорядження № 64 вiд 02.02.1995 року. Станом на кiнець звiтного перiоду акцiонерами Товариства є фiзичнi та юридичнi особи, якi набул</w:t>
      </w:r>
      <w:r>
        <w:rPr>
          <w:rFonts w:ascii="Times New Roman CYR" w:hAnsi="Times New Roman CYR" w:cs="Times New Roman CYR"/>
          <w:sz w:val="24"/>
          <w:szCs w:val="24"/>
        </w:rPr>
        <w:t>и право власностi на акцiї Товариства у процесi приватизацiї та в iнших випадках, передбачених чинним законодавством України.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участь в iнших юридичних особах не надається, тому що Товариство не є учасником в iнших юридичних особах.</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w:t>
      </w:r>
      <w:r>
        <w:rPr>
          <w:rFonts w:ascii="Times New Roman CYR" w:hAnsi="Times New Roman CYR" w:cs="Times New Roman CYR"/>
          <w:sz w:val="24"/>
          <w:szCs w:val="24"/>
        </w:rPr>
        <w:t>цiя про вiдокремленi пiдроздiли не надається, тому що Товариство не має вiдокремлених пiдроздiлiв.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прав на акцiї не надається, тому що таких змiн не було.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w:t>
      </w:r>
      <w:r>
        <w:rPr>
          <w:rFonts w:ascii="Times New Roman CYR" w:hAnsi="Times New Roman CYR" w:cs="Times New Roman CYR"/>
          <w:sz w:val="24"/>
          <w:szCs w:val="24"/>
        </w:rPr>
        <w:t>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забезпечення випуску </w:t>
      </w:r>
      <w:r>
        <w:rPr>
          <w:rFonts w:ascii="Times New Roman CYR" w:hAnsi="Times New Roman CYR" w:cs="Times New Roman CYR"/>
          <w:sz w:val="24"/>
          <w:szCs w:val="24"/>
        </w:rPr>
        <w:t>боргових цiнних папнерiв не надається, тому що Товариство не випускало забезпечених боргових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w:t>
      </w:r>
      <w:r>
        <w:rPr>
          <w:rFonts w:ascii="Times New Roman CYR" w:hAnsi="Times New Roman CYR" w:cs="Times New Roman CYR"/>
          <w:sz w:val="24"/>
          <w:szCs w:val="24"/>
        </w:rPr>
        <w:t>дiйснюється шляхом об'єкта (частини об'єкта) житлового будiвництва.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iнформацiї емiтентами цiнних паперiв, а </w:t>
      </w:r>
      <w:r>
        <w:rPr>
          <w:rFonts w:ascii="Times New Roman CYR" w:hAnsi="Times New Roman CYR" w:cs="Times New Roman CYR"/>
          <w:sz w:val="24"/>
          <w:szCs w:val="24"/>
        </w:rPr>
        <w:t>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осiб, що володiють 5 i бiльше вiдсотками акцiй Товариства, така iнформацiя</w:t>
      </w:r>
      <w:r>
        <w:rPr>
          <w:rFonts w:ascii="Times New Roman CYR" w:hAnsi="Times New Roman CYR" w:cs="Times New Roman CYR"/>
          <w:sz w:val="24"/>
          <w:szCs w:val="24"/>
        </w:rPr>
        <w:t xml:space="preserve"> наводиться нижче:</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Титикало Михайло Федорович володiє 562 112 простими iменними акцiями, що становить 19,741736 %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Титикало Лариса Михайлiвна володiє 462 529 простими iменними акцiями, що становить 16,244317 % вiд</w:t>
      </w:r>
      <w:r>
        <w:rPr>
          <w:rFonts w:ascii="Times New Roman CYR" w:hAnsi="Times New Roman CYR" w:cs="Times New Roman CYR"/>
          <w:sz w:val="24"/>
          <w:szCs w:val="24"/>
        </w:rPr>
        <w:t xml:space="preserve">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Костирко Iгор Григорович володiє 339 380 простими iменними акцiями, що становить 11,919244 %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Телетков Олександр Васильович володiє 316 786 простими iменними акцiями, що стан</w:t>
      </w:r>
      <w:r>
        <w:rPr>
          <w:rFonts w:ascii="Times New Roman CYR" w:hAnsi="Times New Roman CYR" w:cs="Times New Roman CYR"/>
          <w:sz w:val="24"/>
          <w:szCs w:val="24"/>
        </w:rPr>
        <w:t>овить 11,125729 %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Горянська Марiя Володимирiвна володiє 284 733 простими iменними акцiями, що становить 10%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Пирiг Роман Романович володiє 224 495 простими iменними акцiями</w:t>
      </w:r>
      <w:r>
        <w:rPr>
          <w:rFonts w:ascii="Times New Roman CYR" w:hAnsi="Times New Roman CYR" w:cs="Times New Roman CYR"/>
          <w:sz w:val="24"/>
          <w:szCs w:val="24"/>
        </w:rPr>
        <w:t>, що становить 7,884409 %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Серембiцька Оксана Романiвна володiє 224 495 простими iменними акцiями, що становить 7,884409 % вiд загальної кiлькостi акцiй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змiну акцiонерiв, яким належать </w:t>
      </w:r>
      <w:r>
        <w:rPr>
          <w:rFonts w:ascii="Times New Roman CYR" w:hAnsi="Times New Roman CYR" w:cs="Times New Roman CYR"/>
          <w:sz w:val="24"/>
          <w:szCs w:val="24"/>
        </w:rPr>
        <w:t>голосуючi акцiї, розмiр пакета яких стає бiльшим, меншим або рiвним пороговому значенню пакета акцiй не надається, тому що вiдповiдно до пункту 51 Положення про розкриття iнформацiї емiтентами цiнних паперiв, а також особами, якi надають забезпечення за та</w:t>
      </w:r>
      <w:r>
        <w:rPr>
          <w:rFonts w:ascii="Times New Roman CYR" w:hAnsi="Times New Roman CYR" w:cs="Times New Roman CYR"/>
          <w:sz w:val="24"/>
          <w:szCs w:val="24"/>
        </w:rPr>
        <w:t>кими цiнними паперами, затвердженого рiшенням НКЦПФР вiд 06.06.2023 № 608 приватнi акцiонернi товариства не розкривають таку iнформацiю.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осiб, яким належить право голосу за акцiями, сумарна кiлькiсть прав за якими стає бiльшою, меншою</w:t>
      </w:r>
      <w:r>
        <w:rPr>
          <w:rFonts w:ascii="Times New Roman CYR" w:hAnsi="Times New Roman CYR" w:cs="Times New Roman CYR"/>
          <w:sz w:val="24"/>
          <w:szCs w:val="24"/>
        </w:rPr>
        <w:t xml:space="preserve"> або рiвною пороговому значенню пакета акцiй не надається, тому що вiдповiдно до пункту 51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w:t>
      </w:r>
      <w:r>
        <w:rPr>
          <w:rFonts w:ascii="Times New Roman CYR" w:hAnsi="Times New Roman CYR" w:cs="Times New Roman CYR"/>
          <w:sz w:val="24"/>
          <w:szCs w:val="24"/>
        </w:rPr>
        <w:t xml:space="preserve"> 06.06.2023 № 608 приватнi акцiонернi товариства не розкривають таку iнформацiю.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осiб, якi є власниками фiнансових iнструментiв, пов'язаних з голосуючими акцiями акцiонерного товариства, у разi, якщо сумарна кiлькiсть прав за такими а</w:t>
      </w:r>
      <w:r>
        <w:rPr>
          <w:rFonts w:ascii="Times New Roman CYR" w:hAnsi="Times New Roman CYR" w:cs="Times New Roman CYR"/>
          <w:sz w:val="24"/>
          <w:szCs w:val="24"/>
        </w:rPr>
        <w:t>кцiями стає бiльшою, меншою або рiвною пороговому значенню пакета акцiй) не надається, тому що таких змiн не було.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та Iнформацiя про вчинення правочинiв, щодо яких є заiнтересованiсть не розкривається, тому що та</w:t>
      </w:r>
      <w:r>
        <w:rPr>
          <w:rFonts w:ascii="Times New Roman CYR" w:hAnsi="Times New Roman CYR" w:cs="Times New Roman CYR"/>
          <w:sz w:val="24"/>
          <w:szCs w:val="24"/>
        </w:rPr>
        <w:t>кi правочини не вчинялися.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w:t>
      </w:r>
      <w:r>
        <w:rPr>
          <w:rFonts w:ascii="Times New Roman CYR" w:hAnsi="Times New Roman CYR" w:cs="Times New Roman CYR"/>
          <w:sz w:val="24"/>
          <w:szCs w:val="24"/>
        </w:rPr>
        <w:t xml:space="preserve">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w:t>
      </w:r>
      <w:r>
        <w:rPr>
          <w:rFonts w:ascii="Times New Roman CYR" w:hAnsi="Times New Roman CYR" w:cs="Times New Roman CYR"/>
          <w:sz w:val="24"/>
          <w:szCs w:val="24"/>
        </w:rPr>
        <w:t>ає власного кодексу корпоративного управлiння.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w:t>
      </w:r>
      <w:r>
        <w:rPr>
          <w:rFonts w:ascii="Times New Roman CYR" w:hAnsi="Times New Roman CYR" w:cs="Times New Roman CYR"/>
          <w:sz w:val="24"/>
          <w:szCs w:val="24"/>
        </w:rPr>
        <w:t>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щодо вiдхилень вiд </w:t>
      </w:r>
      <w:r>
        <w:rPr>
          <w:rFonts w:ascii="Times New Roman CYR" w:hAnsi="Times New Roman CYR" w:cs="Times New Roman CYR"/>
          <w:sz w:val="24"/>
          <w:szCs w:val="24"/>
        </w:rPr>
        <w:t>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w:t>
      </w:r>
      <w:r>
        <w:rPr>
          <w:rFonts w:ascii="Times New Roman CYR" w:hAnsi="Times New Roman CYR" w:cs="Times New Roman CYR"/>
          <w:sz w:val="24"/>
          <w:szCs w:val="24"/>
        </w:rPr>
        <w:t>тивного управлiння Товариства,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Порядок призначення та звiльнення посадових осiб емiтента </w:t>
      </w:r>
      <w:r>
        <w:rPr>
          <w:rFonts w:ascii="Times New Roman CYR" w:hAnsi="Times New Roman CYR" w:cs="Times New Roman CYR"/>
          <w:sz w:val="24"/>
          <w:szCs w:val="24"/>
        </w:rPr>
        <w:t>здiйснюється у вiдповiдностi до законодавства, Статуту Товариства (посилання на Статут: https://www.kpf.ua/wp-content/uploads/2025/06/statut-2025-nova-redakcziya.pdf) та Поження про Раду директорiв (посилання на Положення 6 https://www.kpf.ua/wp-content/up</w:t>
      </w:r>
      <w:r>
        <w:rPr>
          <w:rFonts w:ascii="Times New Roman CYR" w:hAnsi="Times New Roman CYR" w:cs="Times New Roman CYR"/>
          <w:sz w:val="24"/>
          <w:szCs w:val="24"/>
        </w:rPr>
        <w:t>loads/2025/06/polozhennya-pro-radu-dyrektoriv.pdf).</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розкрита, оскiльки Товариство не є емiтентом облiгацiй.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проведенi засiдання комiтетiв ради т</w:t>
      </w:r>
      <w:r>
        <w:rPr>
          <w:rFonts w:ascii="Times New Roman CYR" w:hAnsi="Times New Roman CYR" w:cs="Times New Roman CYR"/>
          <w:sz w:val="24"/>
          <w:szCs w:val="24"/>
        </w:rPr>
        <w:t>а загальний опис прийнятих рiшень не розкривається, так як комiтети в складi Ради не створювались.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проведенi засiдання комiтетiв колегiального виконавчого органу та загальний опис прийнятих рiшень не розкривається, так як у звiтному перiодi</w:t>
      </w:r>
      <w:r>
        <w:rPr>
          <w:rFonts w:ascii="Times New Roman CYR" w:hAnsi="Times New Roman CYR" w:cs="Times New Roman CYR"/>
          <w:sz w:val="24"/>
          <w:szCs w:val="24"/>
        </w:rPr>
        <w:t xml:space="preserve"> в складi колегiального виконавчого органу комiтети не створювались.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одноосiбний виконавчий орган не розкривається, так як у Товариствi у звiтному перiодi одноосiбний виконавчий орган був вiдсутнiй.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полiтику розкриття iнформ</w:t>
      </w:r>
      <w:r>
        <w:rPr>
          <w:rFonts w:ascii="Times New Roman CYR" w:hAnsi="Times New Roman CYR" w:cs="Times New Roman CYR"/>
          <w:sz w:val="24"/>
          <w:szCs w:val="24"/>
        </w:rPr>
        <w:t xml:space="preserve">ацiї особою не розкривається, оскiльки у 2025 роцi у Товариствi був вiдсутнiй внутрiшнiй документ, який визначав полiтику щодо розкриття iнформацiї.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розкривається у зв'язку з вiдсутнiстю такого радника.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передбачена </w:t>
      </w:r>
      <w:r>
        <w:rPr>
          <w:rFonts w:ascii="Times New Roman CYR" w:hAnsi="Times New Roman CYR" w:cs="Times New Roman CYR"/>
          <w:sz w:val="24"/>
          <w:szCs w:val="24"/>
        </w:rPr>
        <w:t>законодавством про дiяльнiсть та регулювання дiяльностi на ринку фiнансових послуг не розкривається, тому що Товариство не є фiнасовою установою.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 тому що станом на 31.12.2025 у Товариства вiдсутнi зв'язки з iноземним державами зони ризику.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надає iнформацiю, передбачену роздiлом V Змiсту, оск</w:t>
      </w:r>
      <w:r>
        <w:rPr>
          <w:rFonts w:ascii="Times New Roman CYR" w:hAnsi="Times New Roman CYR" w:cs="Times New Roman CYR"/>
          <w:sz w:val="24"/>
          <w:szCs w:val="24"/>
        </w:rPr>
        <w:t>iльки Товариство не є емiтентом iпотечних сертифiкатiв, iпотечних облiгацiй, сертифiкатiв ФОН.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w:t>
      </w:r>
      <w:r>
        <w:rPr>
          <w:rFonts w:ascii="Times New Roman CYR" w:hAnsi="Times New Roman CYR" w:cs="Times New Roman CYR"/>
          <w:sz w:val="24"/>
          <w:szCs w:val="24"/>
        </w:rPr>
        <w:t xml:space="preserve"> та/або правочини, умовою чинностi яких є незмiннiсть осiб, якi здiйснюють контроль над емiтентом не надається, тому що такi договори вiдсутнi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w:t>
      </w:r>
      <w:r>
        <w:rPr>
          <w:rFonts w:ascii="Times New Roman CYR" w:hAnsi="Times New Roman CYR" w:cs="Times New Roman CYR"/>
          <w:sz w:val="24"/>
          <w:szCs w:val="24"/>
        </w:rPr>
        <w:t>у полiтику.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не надається, тому що Товариство не випускало забезпечених боргових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Роздiл "Рiчна фiнансова звiтнiсть" не запо</w:t>
      </w:r>
      <w:r>
        <w:rPr>
          <w:rFonts w:ascii="Times New Roman CYR" w:hAnsi="Times New Roman CYR" w:cs="Times New Roman CYR"/>
          <w:sz w:val="24"/>
          <w:szCs w:val="24"/>
        </w:rPr>
        <w:t xml:space="preserve">внений, так як в р. III гл.2 цього рiчного звiту зазначено посилання на URL-адресу, за якою розмiщено рiчну фiнансову звiтнiсть на основi таксономiї фiнансової звiтностi.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C814A6" w:rsidRDefault="00C814A6" w:rsidP="00C814A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C814A6" w:rsidRDefault="00C814A6" w:rsidP="00C814A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річного звіту</w:t>
      </w:r>
    </w:p>
    <w:tbl>
      <w:tblPr>
        <w:tblW w:w="0" w:type="auto"/>
        <w:tblLook w:val="04A0"/>
      </w:tblPr>
      <w:tblGrid>
        <w:gridCol w:w="9747"/>
        <w:gridCol w:w="1263"/>
      </w:tblGrid>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I. Загальна інформація</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7</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1. Ідентифікаційні дані та загальна інформація</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7</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2. Органи управління та посадові особи. Організаційна структура</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9</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3. Структура власності</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16</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4. Опис господарської та фінансової діяльності</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16</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II. Інформація щодо капіталу та цінних паперів</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36</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1. Структура капіталу</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36</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3. Цінні папери</w:t>
            </w:r>
          </w:p>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39</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III. Фінансова інформація</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1. Інформація про розмір доходу за видами діяльності особи</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2. Річна фінансова звітність</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42</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3. Аудиторський звіт до річної фінансової звітності</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43</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4. Твердження щодо річної інформації</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43</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5. Значні правочини та правочини із заінтересованістю</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43</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IV. Нефінансова інформація</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44</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1. Звіт керівництва (звіт про управління)</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44</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1) звіт про корпоративне управління</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sidRPr="00C814A6">
              <w:rPr>
                <w:rFonts w:ascii="Times New Roman CYR" w:hAnsi="Times New Roman CYR" w:cs="Times New Roman CYR"/>
                <w:sz w:val="24"/>
                <w:szCs w:val="24"/>
              </w:rPr>
              <w:t>4</w:t>
            </w:r>
            <w:r>
              <w:rPr>
                <w:rFonts w:ascii="Times New Roman CYR" w:hAnsi="Times New Roman CYR" w:cs="Times New Roman CYR"/>
                <w:sz w:val="24"/>
                <w:szCs w:val="24"/>
              </w:rPr>
              <w:t>6</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2) звіт про сталий розвиток</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75</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4. Дивіденди</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78</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5. Перелік посилань на внутрішні документи особи, що розміщені на вебсайті особи</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80</w:t>
            </w:r>
          </w:p>
        </w:tc>
      </w:tr>
      <w:tr w:rsidR="00C814A6" w:rsidTr="00C814A6">
        <w:tc>
          <w:tcPr>
            <w:tcW w:w="9747" w:type="dxa"/>
          </w:tcPr>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r w:rsidRPr="00C814A6">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C814A6" w:rsidRPr="00C814A6" w:rsidRDefault="00C814A6" w:rsidP="00C814A6">
            <w:pPr>
              <w:widowControl w:val="0"/>
              <w:autoSpaceDE w:val="0"/>
              <w:autoSpaceDN w:val="0"/>
              <w:adjustRightInd w:val="0"/>
              <w:spacing w:after="0" w:line="240" w:lineRule="auto"/>
              <w:rPr>
                <w:rFonts w:ascii="Times New Roman CYR" w:hAnsi="Times New Roman CYR" w:cs="Times New Roman CYR"/>
                <w:sz w:val="24"/>
                <w:szCs w:val="24"/>
              </w:rPr>
            </w:pPr>
          </w:p>
        </w:tc>
        <w:tc>
          <w:tcPr>
            <w:tcW w:w="1263" w:type="dxa"/>
          </w:tcPr>
          <w:p w:rsidR="00C814A6" w:rsidRPr="00C814A6" w:rsidRDefault="00C814A6" w:rsidP="00C814A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80</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 Загальна інформація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"Кохавинська паперова фабрика"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АТ "Кохавинська ПФ"</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22351935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02.02.1995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81740, Україна, Львівська обл., Стрийський р-н, селище Гнiздичiв, вул.Коновальця, будинок 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info@kpf.ua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+38(032)-394-82-77</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711832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504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17.12 - Виробництво паперу та картону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17.22 - Виробництво паперових виробiв господарсько-побутового та санiтарно-гiгiєнiчного призначення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46.90 - Неспецiалiзована оптова торгiвля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Однорівнева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"КРЕДОБАНК"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09807862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UA543253650000000260010036360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USD, UAH, GBP, EUR</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UA503003350000000260052187947</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USD</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UA333003350000000260092187949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UA493003350000000260042187944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UAH</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Згiдно з реєстром власникiв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Рада директорiв</w:t>
            </w:r>
          </w:p>
        </w:tc>
        <w:tc>
          <w:tcPr>
            <w:tcW w:w="4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Станом на 31.12.2025: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 - голова ради директорiв (виконавчий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Васильович - головний 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Чеботарьов Роман Iванович - 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 - невиконавчий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 - н</w:t>
            </w:r>
            <w:r>
              <w:rPr>
                <w:rFonts w:ascii="Times New Roman CYR" w:hAnsi="Times New Roman CYR" w:cs="Times New Roman CYR"/>
              </w:rPr>
              <w:t>евиконавчий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 - невиконавчий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Телетков Олександр Васильович - невиконавчий директор.</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посадових осіб</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Михайло Федорович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Телетков Олександр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Костирко Iгор Григорович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Лариса Михайлiвна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Торговий дiм "Кохавинка"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32345451</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Романович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виробництва санiтарно-гiгiєнiчних видiв паперу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ради директорiв, 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Михайло Федорович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57</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Телетков Олександр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Костирко Iгор Григорович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Лариса Михайлiвна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Торговий дiм "Кохавинка"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32345451</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 22351935, член Наглядової ради</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Романович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виробництва санiтарно-гiгiєнiчних видiв паперу,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виконавчий директор  (акцiонер)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Чеботарьов Роман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 член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24.03.2022</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Лесюк Iванна Михайлiвна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24.03.2022</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Костур Орест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вiддiлу збуту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24.03.2022</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Медвiдь Тарас Орестович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паперового виробництва № 2</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24.03.2022</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Чеботарьов Роман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24.03.2022</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Сивик Вiталiя Євгенiївна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29.01.2025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350"/>
        <w:gridCol w:w="2250"/>
        <w:gridCol w:w="1300"/>
        <w:gridCol w:w="1300"/>
        <w:gridCol w:w="1200"/>
        <w:gridCol w:w="3600"/>
        <w:gridCol w:w="1400"/>
        <w:gridCol w:w="1900"/>
        <w:gridCol w:w="1100"/>
      </w:tblGrid>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29.01.2025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Сивик Вiталiя Євгенiївна</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+380971181730</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vsyvyk@kpf.ua</w:t>
            </w:r>
          </w:p>
        </w:tc>
        <w:tc>
          <w:tcPr>
            <w:tcW w:w="1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2500"/>
        <w:gridCol w:w="1625"/>
        <w:gridCol w:w="1625"/>
        <w:gridCol w:w="1625"/>
        <w:gridCol w:w="1625"/>
        <w:gridCol w:w="1700"/>
        <w:gridCol w:w="1700"/>
      </w:tblGrid>
      <w:tr w:rsidR="00000000">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за типами акцій</w:t>
            </w:r>
          </w:p>
        </w:tc>
      </w:tr>
      <w:tr w:rsidR="00000000">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привілейовані іменні</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Михайло Федорович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562 112</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19,741736</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562 112</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Лариса Михайлiвна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462 529</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16,244317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462 529</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Костирко Iгор Григорович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339 380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11,919244</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339 380</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Телетков Олександр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316 786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11,125729</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316 786</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Романович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224 495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7,884409</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224 495</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2 400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0,084289</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2 400</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86A45">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Організаційна структура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https://www.kpf.ua/wp-content/uploads/2026/01/organizaczijna-struktura-upravlinnya-stanom-na-31.12.2025.pdf</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https://www.kpf.ua/wp-content/uploads/2026/01/struktura-vlasnosti-tovarystva-stanom-na-31.12.2025.pdf</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w:t>
      </w:r>
      <w:r>
        <w:rPr>
          <w:rFonts w:ascii="Times New Roman CYR" w:hAnsi="Times New Roman CYR" w:cs="Times New Roman CYR"/>
          <w:sz w:val="24"/>
          <w:szCs w:val="24"/>
        </w:rPr>
        <w:t xml:space="preserve"> опис дiяльностi об'єднання, строк участi особи у вiдповiдному об'єднаннi, роль особи в об'єднаннi, посилання на вебсайт об'єднання.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ВЕО "Укрвторма" - українське виробничо-екологiчне об'єднання пiдприємств України, що займаються заготiвлею та використання</w:t>
      </w:r>
      <w:r>
        <w:rPr>
          <w:rFonts w:ascii="Times New Roman CYR" w:hAnsi="Times New Roman CYR" w:cs="Times New Roman CYR"/>
          <w:sz w:val="24"/>
          <w:szCs w:val="24"/>
        </w:rPr>
        <w:t>м у господарськiй дiяльностi вторинних матерiальних ресурсiв ( м. Київ, вул. Руданського,4-6,3 секцiя, офiс №10, 04112);</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Асоцiацiя "УкрПапiр" - асоцiацiя українських пiдприємств целюлозно-паперової галузi ( м. Київ, вул. Євгена Сверстюка,19, кв.1118, 0200</w:t>
      </w:r>
      <w:r>
        <w:rPr>
          <w:rFonts w:ascii="Times New Roman CYR" w:hAnsi="Times New Roman CYR" w:cs="Times New Roman CYR"/>
          <w:sz w:val="24"/>
          <w:szCs w:val="24"/>
        </w:rPr>
        <w:t>2);</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Львiвська торгово-промислова палата ( м. Львiв, вул.Стрийський парк,14,79011);</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Львiвське обласне об'єднання органiзацiй роботодавцiв - об'єднання створене з метою сприяння розвитку пiдприємництва Львiвщини та захисту вiтчизняного товаровиробника  (м.</w:t>
      </w:r>
      <w:r>
        <w:rPr>
          <w:rFonts w:ascii="Times New Roman CYR" w:hAnsi="Times New Roman CYR" w:cs="Times New Roman CYR"/>
          <w:sz w:val="24"/>
          <w:szCs w:val="24"/>
        </w:rPr>
        <w:t xml:space="preserve"> Львiв,вул.Городоцька,174,79022);</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Асоцiацiя Товарної Нумерацiї України "ДжiЕс1 Україна" - участь у всесвiтнiй системi товарної нумерацiї GS1 (використання штрих-кодiв).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w:t>
      </w:r>
      <w:r>
        <w:rPr>
          <w:rFonts w:ascii="Times New Roman CYR" w:hAnsi="Times New Roman CYR" w:cs="Times New Roman CYR"/>
          <w:sz w:val="24"/>
          <w:szCs w:val="24"/>
        </w:rPr>
        <w:t>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w:t>
      </w:r>
      <w:r>
        <w:rPr>
          <w:rFonts w:ascii="Times New Roman CYR" w:hAnsi="Times New Roman CYR" w:cs="Times New Roman CYR"/>
          <w:sz w:val="24"/>
          <w:szCs w:val="24"/>
        </w:rPr>
        <w:t>вами, установами.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Загальнi засади органiзацiї облiку.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ведеться вiдповiдно до МСФЗ, Зак</w:t>
      </w:r>
      <w:r>
        <w:rPr>
          <w:rFonts w:ascii="Times New Roman CYR" w:hAnsi="Times New Roman CYR" w:cs="Times New Roman CYR"/>
          <w:sz w:val="24"/>
          <w:szCs w:val="24"/>
        </w:rPr>
        <w:t>ону України "Про бухгалтерський облiк i фiнансову звiтнiсть" та iнших нормативних актiв.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Вiдповiдальнiсть розподiлена: головний бухгалтер вiдповiдає за бухгалтерський i податковий облiк, фiнансовий директор - за управлiнський.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здiйснюється автоматизовано з використанням програми "1С:Пiдприємство".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-Первинний облiк та документообiг.</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Первиннi документи складаються пiд час або одразу пiсля здiйснення операцiй, допускається їх створення на паперових чи електронних носiях iз </w:t>
      </w:r>
      <w:r>
        <w:rPr>
          <w:rFonts w:ascii="Times New Roman CYR" w:hAnsi="Times New Roman CYR" w:cs="Times New Roman CYR"/>
          <w:sz w:val="24"/>
          <w:szCs w:val="24"/>
        </w:rPr>
        <w:t>застосуванням факсимiле. Передбаченi правила архiвування, iнвентаризацiї та внутрiшнього документообiгу.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Критерiї суттєвостi та принципи облiку.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Встановленi кiлькiснi пороги суттєвостi: наприклад, 3% вартостi активiв чи зобов'язань, 2% чистого прибутку</w:t>
      </w:r>
      <w:r>
        <w:rPr>
          <w:rFonts w:ascii="Times New Roman CYR" w:hAnsi="Times New Roman CYR" w:cs="Times New Roman CYR"/>
          <w:sz w:val="24"/>
          <w:szCs w:val="24"/>
        </w:rPr>
        <w:t xml:space="preserve"> для доходiв i витрат тощо.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Використовуються принципи автономностi, послiдовностi, безперервностi, превалювання сутностi над формою та iншi базовi принципи МСФЗ.</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МНМА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основних засобiв належать активи вартiстю понад 20 000 грн зi ст</w:t>
      </w:r>
      <w:r>
        <w:rPr>
          <w:rFonts w:ascii="Times New Roman CYR" w:hAnsi="Times New Roman CYR" w:cs="Times New Roman CYR"/>
          <w:sz w:val="24"/>
          <w:szCs w:val="24"/>
        </w:rPr>
        <w:t>роком використання понад рiк.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МНМА - вiд 3 000 до 20 000 грн, амортизуються у перший мiсяць використання 100% вартостi.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основних засобiв - в основному прямолiнiйним методом; можливiсть переоцiнки за справедливою вартiстю. Для суто виробничого</w:t>
      </w:r>
      <w:r>
        <w:rPr>
          <w:rFonts w:ascii="Times New Roman CYR" w:hAnsi="Times New Roman CYR" w:cs="Times New Roman CYR"/>
          <w:sz w:val="24"/>
          <w:szCs w:val="24"/>
        </w:rPr>
        <w:t xml:space="preserve"> обладнання можливий виробничий метод амортизацiї, що зазначається безпосередньо в розпорядженнi на ввiд в експлуатацiю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вiдповiдно до МСБО 36; амортизацiя прямолiнiйним методом, строк корисного використання до 20 рокiв.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w:t>
      </w:r>
      <w:r>
        <w:rPr>
          <w:rFonts w:ascii="Times New Roman CYR" w:hAnsi="Times New Roman CYR" w:cs="Times New Roman CYR"/>
          <w:sz w:val="24"/>
          <w:szCs w:val="24"/>
        </w:rPr>
        <w:t>ти на дослiдження, рекламу, пiдготовку кадрiв не визнаються активами.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за МСБО 2; оцiнка при вибуттi - за методом ФIФО.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МШП вартiстю до 2 000 грн списуються одразу при введеннi в експлуатацiю.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Нелiквiднi запаси облiковуються на позабалансових рахунках.</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Первiсне визнання - за справедливою вартiстю; у звiтностi короткострокова заборгованiсть вiдображається за чистою вартiстю реалiзацiї (з урахуванням резерву сумнiвних</w:t>
      </w:r>
      <w:r>
        <w:rPr>
          <w:rFonts w:ascii="Times New Roman CYR" w:hAnsi="Times New Roman CYR" w:cs="Times New Roman CYR"/>
          <w:sz w:val="24"/>
          <w:szCs w:val="24"/>
        </w:rPr>
        <w:t xml:space="preserve"> боргiв).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i резерви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Подiл на довгостроковi та поточнi, оцiнка за теперiшньою вартiстю або сумою погашення.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Створюється забезпечення на виплати вiдпусток, а також резервування iнших зобов'язань (наприклад, пiд рiчний аудит, капiтальний ремо</w:t>
      </w:r>
      <w:r>
        <w:rPr>
          <w:rFonts w:ascii="Times New Roman CYR" w:hAnsi="Times New Roman CYR" w:cs="Times New Roman CYR"/>
          <w:sz w:val="24"/>
          <w:szCs w:val="24"/>
        </w:rPr>
        <w:t>нт та експлуатацiйнi витрати тощо).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та калькулювання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Використовується нормативний метод облiку витрат, базований на технiчних умовах i нормах сировини.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Норми технiчно неминучого браку уточненi у 2020 роцi згiдно з новими ТУ та ДСТУ.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w:t>
      </w:r>
      <w:r>
        <w:rPr>
          <w:rFonts w:ascii="Times New Roman CYR" w:hAnsi="Times New Roman CYR" w:cs="Times New Roman CYR"/>
          <w:sz w:val="24"/>
          <w:szCs w:val="24"/>
        </w:rPr>
        <w:t>олiтика фабрики вiдповiдає вимогам МСФЗ та адаптована пiд специфiку паперового виробництва. Основнi акценти зробленi на автоматизацiї облiку, чiтких критерiях визнання активiв, застосуваннi моделi переоцiнки основних засобiв, нормативному методi калькулюва</w:t>
      </w:r>
      <w:r>
        <w:rPr>
          <w:rFonts w:ascii="Times New Roman CYR" w:hAnsi="Times New Roman CYR" w:cs="Times New Roman CYR"/>
          <w:sz w:val="24"/>
          <w:szCs w:val="24"/>
        </w:rPr>
        <w:t>ння витрат i жорстких вимогах до документального пiдтвердження операцiй.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фiнансування дiяльностi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Джерела фiнансування: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пiдприємства орiєнтована на ведення облiку та складання звiтностi вiдповiдно до МСФЗ, що передбачає прозоре вiдображення як власного, так i залученого капiталу. У наказi про облiкову полiти</w:t>
      </w:r>
      <w:r>
        <w:rPr>
          <w:rFonts w:ascii="Times New Roman CYR" w:hAnsi="Times New Roman CYR" w:cs="Times New Roman CYR"/>
          <w:sz w:val="24"/>
          <w:szCs w:val="24"/>
        </w:rPr>
        <w:t>ку чiтко визначено порядок облiку довгострокових i поточних зобов'язань - довгостроковi оцiнюються за теперiшньою вартiстю, короткостроковi - за сумою погашення. Це вiдповiдає консервативному пiдходу до управлiння боргом.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i резерви: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Створюют</w:t>
      </w:r>
      <w:r>
        <w:rPr>
          <w:rFonts w:ascii="Times New Roman CYR" w:hAnsi="Times New Roman CYR" w:cs="Times New Roman CYR"/>
          <w:sz w:val="24"/>
          <w:szCs w:val="24"/>
        </w:rPr>
        <w:t>ься резерви пiд зобов'язання за невикористанi вiдпустки та iншi господарсько-виробничi потреби. Це не тiльки знижує навантаження на фiнансовий результат у короткостроковому перiодi, але потенцiйно зменшує ризики для майбутнiх перiодiв.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Фiнансування iнвест</w:t>
      </w:r>
      <w:r>
        <w:rPr>
          <w:rFonts w:ascii="Times New Roman CYR" w:hAnsi="Times New Roman CYR" w:cs="Times New Roman CYR"/>
          <w:sz w:val="24"/>
          <w:szCs w:val="24"/>
        </w:rPr>
        <w:t>ицiй: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облiковуються за справедливою вартiстю (переоцiнка), що дозволяє формувати бiльший власний капiтал за рахунок дооцiнки i тим самим пiдвищувати кредитоспроможнiсть.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-Достатнiсть робочого капiталу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обiгу активiв: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облiк</w:t>
      </w:r>
      <w:r>
        <w:rPr>
          <w:rFonts w:ascii="Times New Roman CYR" w:hAnsi="Times New Roman CYR" w:cs="Times New Roman CYR"/>
          <w:sz w:val="24"/>
          <w:szCs w:val="24"/>
        </w:rPr>
        <w:t>овуються за ФIФО i оцiнюються за найменшою з двох оцiнок (собiвартiсть або чиста вартiсть реалiзацiї), що сприяє адекватному вiдображенню лiквiдностi запасiв. МШП списуються одразу, що знижує ризик завищення активiв.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Вiдобража</w:t>
      </w:r>
      <w:r>
        <w:rPr>
          <w:rFonts w:ascii="Times New Roman CYR" w:hAnsi="Times New Roman CYR" w:cs="Times New Roman CYR"/>
          <w:sz w:val="24"/>
          <w:szCs w:val="24"/>
        </w:rPr>
        <w:t>ється за чистою вартiстю реалiзацiї з формуванням резерву сумнiвних боргiв, що дозволяє адекватнiше оцiнювати обiговий капiтал.</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i поточнi зобов'язання: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Операцiйний цикл встановлено на рiвнi одного мiсяця, що є досить коротким для виробничого пiдприємства. Це означає, що фiнансування обiгових активiв здебiльшого вiдбувається через власнi кошти вiд реалiзацiї продукцiї. З огляду на специфiку пiдприємства (в</w:t>
      </w:r>
      <w:r>
        <w:rPr>
          <w:rFonts w:ascii="Times New Roman CYR" w:hAnsi="Times New Roman CYR" w:cs="Times New Roman CYR"/>
          <w:sz w:val="24"/>
          <w:szCs w:val="24"/>
        </w:rPr>
        <w:t>иробництво з безперервним циклом i значною потребою в запасах), такий пiдхiд виглядає збалансованим.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Можливi шляхи покращення лiквiдностi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дебiторською заборгованiстю: жорсткiший контроль термiнiв оплати, введення знижок за дострокову оплату,</w:t>
      </w:r>
      <w:r>
        <w:rPr>
          <w:rFonts w:ascii="Times New Roman CYR" w:hAnsi="Times New Roman CYR" w:cs="Times New Roman CYR"/>
          <w:sz w:val="24"/>
          <w:szCs w:val="24"/>
        </w:rPr>
        <w:t xml:space="preserve"> переведення частини клiєнтiв на передоплату.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Оптимiзацiя запасiв: перегляд нормативiв технiчно неминучого браку (особливо пiсля змiни ТУ у 2020 р.), використання системи управлiння запасами "just-in-time" для зниження рiвня складських залишкiв.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Керуванн</w:t>
      </w:r>
      <w:r>
        <w:rPr>
          <w:rFonts w:ascii="Times New Roman CYR" w:hAnsi="Times New Roman CYR" w:cs="Times New Roman CYR"/>
          <w:sz w:val="24"/>
          <w:szCs w:val="24"/>
        </w:rPr>
        <w:t>я зобов'язаннями: переговори з постачальниками щодо збiльшення вiдстрочок платежiв без штрафних санкцiй, використання факторингу чи банкiвських кредитних лiнiй для пiдтримки обiгових коштiв у пiковi перiоди.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гнучкiсть: використання дооцiнки осно</w:t>
      </w:r>
      <w:r>
        <w:rPr>
          <w:rFonts w:ascii="Times New Roman CYR" w:hAnsi="Times New Roman CYR" w:cs="Times New Roman CYR"/>
          <w:sz w:val="24"/>
          <w:szCs w:val="24"/>
        </w:rPr>
        <w:t>вних засобiв для залучення довгострокових кредитiв пiд заставу.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дiяльностi пiдприємства є досить консервативною: необхiдний рiвень резервiв, обережнiсть у вiдображеннi дебiторки та запасiв, короткий операцiйний цикл. Це свiдчи</w:t>
      </w:r>
      <w:r>
        <w:rPr>
          <w:rFonts w:ascii="Times New Roman CYR" w:hAnsi="Times New Roman CYR" w:cs="Times New Roman CYR"/>
          <w:sz w:val="24"/>
          <w:szCs w:val="24"/>
        </w:rPr>
        <w:t>ть про прагнення зберегти позитивний робочий капiтал i фiнансуватися переважно за рахунок операцiйних потокiв.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 з тим, для покращення лiквiдностi пiдприємству доцiльно активнiше управляти дебiторкою та запасами, а також розглянути iнструменти фiнансу</w:t>
      </w:r>
      <w:r>
        <w:rPr>
          <w:rFonts w:ascii="Times New Roman CYR" w:hAnsi="Times New Roman CYR" w:cs="Times New Roman CYR"/>
          <w:sz w:val="24"/>
          <w:szCs w:val="24"/>
        </w:rPr>
        <w:t>вання оборотного капiталу (факторинг, кредитнi лiнiї).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Дослiдженнями та розробками в звiтному перiодi Товариство не займалось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п</w:t>
      </w:r>
      <w:r>
        <w:rPr>
          <w:rFonts w:ascii="Times New Roman CYR" w:hAnsi="Times New Roman CYR" w:cs="Times New Roman CYR"/>
          <w:sz w:val="24"/>
          <w:szCs w:val="24"/>
        </w:rPr>
        <w:t>унктом 5 не зазначається, якщо законом така iнформацiя визнана iнформацiєю з обмеженим доступом.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 / надає особа;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Виробництво паперу та паперових виробiв господарсько-побутового та санiтарно-гiгiєнiчного призначення. Папiр для виробiв побутового призначення (макулатурний та целюлозний). Санiтарно-гiгiєнiчнi вироби з паперу (папiр туалетний в рулончиках, рушнички папер</w:t>
      </w:r>
      <w:r>
        <w:rPr>
          <w:rFonts w:ascii="Times New Roman CYR" w:hAnsi="Times New Roman CYR" w:cs="Times New Roman CYR"/>
          <w:sz w:val="24"/>
          <w:szCs w:val="24"/>
        </w:rPr>
        <w:t>овi в рулонах, рушнички паперовi в аркушах, серветки паперовi) також, як макулатурнi, так i целюлознi.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(у натуральному та грошовому виразi);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обсяги виробництва паперу-основи у натуральному виразi 25 028 тонн та грошовому виразi - </w:t>
      </w:r>
      <w:r>
        <w:rPr>
          <w:rFonts w:ascii="Times New Roman CYR" w:hAnsi="Times New Roman CYR" w:cs="Times New Roman CYR"/>
          <w:sz w:val="24"/>
          <w:szCs w:val="24"/>
        </w:rPr>
        <w:t>1 128 997,191 тис.грн;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обсяги виробництва виробiв санiтарно-гiгiєнiчного та побутового призначення у натуральному виразi 182 155  тис.шт. та грошовому виразi - 1 442 488,152 тис.грн.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Вiдповiдають середньоринкови</w:t>
      </w:r>
      <w:r>
        <w:rPr>
          <w:rFonts w:ascii="Times New Roman CYR" w:hAnsi="Times New Roman CYR" w:cs="Times New Roman CYR"/>
          <w:sz w:val="24"/>
          <w:szCs w:val="24"/>
        </w:rPr>
        <w:t>м цiнам</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реалiзацiї продукцiї за 2025 р. склав - 2 585 970  тис.грн.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1 489 059 тис.грн., частка експорту в загальному об</w:t>
      </w:r>
      <w:r>
        <w:rPr>
          <w:rFonts w:ascii="Times New Roman CYR" w:hAnsi="Times New Roman CYR" w:cs="Times New Roman CYR"/>
          <w:sz w:val="24"/>
          <w:szCs w:val="24"/>
        </w:rPr>
        <w:t>сязi продажiв 57,6%</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немає</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ТД "Кохавинка"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"Українська логiстична група"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"Афiна груп"</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"BM plus spol. s r. o. ", Чехiя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"G. Е. Trade Kft", Угорщина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Україна, Чехiя, Угорщина, Словаччина, Молдова, Румунiя, Швецiя та iн.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Нацiональнi та регiональнi мережi, HORECA, дистрибуцiя.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w:t>
      </w:r>
      <w:r>
        <w:rPr>
          <w:rFonts w:ascii="Times New Roman CYR" w:hAnsi="Times New Roman CYR" w:cs="Times New Roman CYR"/>
          <w:sz w:val="24"/>
          <w:szCs w:val="24"/>
        </w:rPr>
        <w:t>/або послуг, якi вони постачають/надають особi, країни з яких здiйснюється постачання/надання товарiв/послуг;</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Baltliner OU (постачання сировини) - Постачання з Польщi та Латвiї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TSC Sp z.o.o. (постачання сировини та хiмiкатiв) - по</w:t>
      </w:r>
      <w:r>
        <w:rPr>
          <w:rFonts w:ascii="Times New Roman CYR" w:hAnsi="Times New Roman CYR" w:cs="Times New Roman CYR"/>
          <w:sz w:val="24"/>
          <w:szCs w:val="24"/>
        </w:rPr>
        <w:t>стачання з Польщi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ПП "ТрансПак" (надання послуг з автомобiльних вантажних перевезень в Українi за її межами  (Польща, Чехiя, Угорщина, Словаччина та iн.).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ТзОВ "Шляхбудсервiс-Д" - виконання будiвельно-монтажних робiт.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тлi загального уповiльнення економiки целюлозно-паперова промисловiсть України у 2025 роцi продемонструвала помiрне вiдновлення, але ще не повернулася до довоєнних масштабiв. За г</w:t>
      </w:r>
      <w:r>
        <w:rPr>
          <w:rFonts w:ascii="Times New Roman CYR" w:hAnsi="Times New Roman CYR" w:cs="Times New Roman CYR"/>
          <w:sz w:val="24"/>
          <w:szCs w:val="24"/>
        </w:rPr>
        <w:t>алузевими даними, у 2025 роцi виробництво паперу в Українi становило 147,2 тис. т, картону - 482,7 тис. т, а гофроящикiв - 599,6 млн кв. м. Порiвняно з 2024 роком це означає прирiст на 7,1%, 4,2% та 1,6% вiдповiдно. Разом з тим обсяги все ще нижчi за рiвен</w:t>
      </w:r>
      <w:r>
        <w:rPr>
          <w:rFonts w:ascii="Times New Roman CYR" w:hAnsi="Times New Roman CYR" w:cs="Times New Roman CYR"/>
          <w:sz w:val="24"/>
          <w:szCs w:val="24"/>
        </w:rPr>
        <w:t>ь 2021 року: для паперу - лише 91,2% довоєнного показника, для картону - 65,6%.</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оцiнкою асоцiацiї "УкрПапiр", 2025 рiк був для галузi радше роком утримання позицiй, а не активного розвитку. Водночас сегмент паперу-основи санiтарно-гiгiєнiчного призначе</w:t>
      </w:r>
      <w:r>
        <w:rPr>
          <w:rFonts w:ascii="Times New Roman CYR" w:hAnsi="Times New Roman CYR" w:cs="Times New Roman CYR"/>
          <w:sz w:val="24"/>
          <w:szCs w:val="24"/>
        </w:rPr>
        <w:t>ння виглядав сильнiше за середню галузь: його виробництво у 2025 роцi досягло 130,2 тис. т, що на 6,2% бiльше, нiж у 2024 роцi. Також асоцiацiя вiдзначає, що саме гiгiєнiчнi продукти та упаковка залишаються найстiйкiшими сегментами попиту в короткостроковi</w:t>
      </w:r>
      <w:r>
        <w:rPr>
          <w:rFonts w:ascii="Times New Roman CYR" w:hAnsi="Times New Roman CYR" w:cs="Times New Roman CYR"/>
          <w:sz w:val="24"/>
          <w:szCs w:val="24"/>
        </w:rPr>
        <w:t>й перспективi, тодi як традицiйний папiр для друку структурно слабшає.</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паперової промисловостi у 2025 роцi визначальними були чотири групи чинникiв: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по-перше, енергетична нестабiльнiсть та висока вартiсть енергiї;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по-друге, iмпортна залежнiсть вiд п</w:t>
      </w:r>
      <w:r>
        <w:rPr>
          <w:rFonts w:ascii="Times New Roman CYR" w:hAnsi="Times New Roman CYR" w:cs="Times New Roman CYR"/>
          <w:sz w:val="24"/>
          <w:szCs w:val="24"/>
        </w:rPr>
        <w:t>ервинної целюлози та хiмiчних компонентiв;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по-третє, валютний фактор, що впливає на вартiсть iмпортної сировини;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по-четверте, логiстичнi ризики та конкуренцiя з iмпортом. Асоцiацiя "УкрПапiр" прямо називає нестачу власної целюлози, низький рiвень збору м</w:t>
      </w:r>
      <w:r>
        <w:rPr>
          <w:rFonts w:ascii="Times New Roman CYR" w:hAnsi="Times New Roman CYR" w:cs="Times New Roman CYR"/>
          <w:sz w:val="24"/>
          <w:szCs w:val="24"/>
        </w:rPr>
        <w:t>акулатури, застарiле обладнання та вплив вiйни ключовими обмеженнями для розвитку галузi.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української паперової промисловостi сировинний фактор у 2025 роцi був неоднорiдним. З одного боку, галузь залишається залежною вiд iмпорту первинної целюлози та </w:t>
      </w:r>
      <w:r>
        <w:rPr>
          <w:rFonts w:ascii="Times New Roman CYR" w:hAnsi="Times New Roman CYR" w:cs="Times New Roman CYR"/>
          <w:sz w:val="24"/>
          <w:szCs w:val="24"/>
        </w:rPr>
        <w:t xml:space="preserve">частини хiмiчних компонентiв, що робить собiвартiсть чутливою до курсу гривнi та логiстики. З iншого боку, на свiтовому ринку у 2025 роцi спостерiгалася м'якiсть цiн на целюлозу: Fastmarkets вiдзначав, що починаючи з другого кварталу 2025 року європейськi </w:t>
      </w:r>
      <w:r>
        <w:rPr>
          <w:rFonts w:ascii="Times New Roman CYR" w:hAnsi="Times New Roman CYR" w:cs="Times New Roman CYR"/>
          <w:sz w:val="24"/>
          <w:szCs w:val="24"/>
        </w:rPr>
        <w:t>виробники працювали в умовах спадних цiн на pulp, а цiни опускалися навiть нижче мiнiмумiв кiнця 2024 року.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Отже, 2025 рiк для сировинної компоненти був радше роком часткового полегшення по волокну, але не загального здешевлення всiх матерiальних витрат. </w:t>
      </w:r>
      <w:r>
        <w:rPr>
          <w:rFonts w:ascii="Times New Roman CYR" w:hAnsi="Times New Roman CYR" w:cs="Times New Roman CYR"/>
          <w:sz w:val="24"/>
          <w:szCs w:val="24"/>
        </w:rPr>
        <w:t>Якщо для целюлози та макулатури спостерiгався спад цiн, то для хiмiї, логiстики, енергетики та оплати працi - навпаки, зберiгався висхiдний тиск. Саме тому загальна собiвартiсть у галузi залишалась напруженою навiть за помiрнiшого валютного середовища.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w:t>
      </w:r>
      <w:r>
        <w:rPr>
          <w:rFonts w:ascii="Times New Roman CYR" w:hAnsi="Times New Roman CYR" w:cs="Times New Roman CYR"/>
          <w:sz w:val="24"/>
          <w:szCs w:val="24"/>
        </w:rPr>
        <w:t>я українських виробникiв паперу та паперових виробiв 2025 рiк можна охарактеризувати як рiк адаптацiї та операцiйної стiйкостi. Макросередовище було неоднозначним: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економiка зростала, але повiльно;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iнфляцiя знизилася, але енергiя й надалi залишалась доро</w:t>
      </w:r>
      <w:r>
        <w:rPr>
          <w:rFonts w:ascii="Times New Roman CYR" w:hAnsi="Times New Roman CYR" w:cs="Times New Roman CYR"/>
          <w:sz w:val="24"/>
          <w:szCs w:val="24"/>
        </w:rPr>
        <w:t>гою;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 був стабiльнiшим, але торговельний дефiцит та iмпортозалежнiсть нiкуди не зникли;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вiдновлювалась, але ще не повернулась до довоєнного масштабу.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сегмента санiтарно-гiгiєнiчної п</w:t>
      </w:r>
      <w:r>
        <w:rPr>
          <w:rFonts w:ascii="Times New Roman CYR" w:hAnsi="Times New Roman CYR" w:cs="Times New Roman CYR"/>
          <w:sz w:val="24"/>
          <w:szCs w:val="24"/>
        </w:rPr>
        <w:t>родукцiї це, однак, було навiть вiдносно сприятливе середовище порiвняно з багатьма iншими пiдсекторами переробки. Попит на гiгiєнiчнi товари виявився стiйкiшим, нiж на друкарськi папери, а папiр-основа санiтарно-гiгiєнiчного призначення залишався одним iз</w:t>
      </w:r>
      <w:r>
        <w:rPr>
          <w:rFonts w:ascii="Times New Roman CYR" w:hAnsi="Times New Roman CYR" w:cs="Times New Roman CYR"/>
          <w:sz w:val="24"/>
          <w:szCs w:val="24"/>
        </w:rPr>
        <w:t xml:space="preserve"> сегментiв, де в Українi фiксувалося реальне зростання.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Саме тому для паперових пiдприємств у 2025 роцi ключовими факторами успiху були не стiльки агресивне розширення, скiльки операцiйна ефективнiсть, енергозбереження, валютна дисциплiна, контроль закупi</w:t>
      </w:r>
      <w:r>
        <w:rPr>
          <w:rFonts w:ascii="Times New Roman CYR" w:hAnsi="Times New Roman CYR" w:cs="Times New Roman CYR"/>
          <w:sz w:val="24"/>
          <w:szCs w:val="24"/>
        </w:rPr>
        <w:t>вель сировини та фокус на сегментах зi стабiльним попитом - насамперед у санiтарно-гiгiєнiчнiй продукцiї та паперi-основi.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Показники основних виробникiв целюлозно-паперової продукцiї України. За наявними даними, у 2025 р. загальний обсяг виробництва туале</w:t>
      </w:r>
      <w:r>
        <w:rPr>
          <w:rFonts w:ascii="Times New Roman CYR" w:hAnsi="Times New Roman CYR" w:cs="Times New Roman CYR"/>
          <w:sz w:val="24"/>
          <w:szCs w:val="24"/>
        </w:rPr>
        <w:t>тного паперу основними виробниками становив 583088 тис. рулонiв, що дещо бiльше порiвняно з 2024 р. (582124 тис. рулонiв). Таким чином, темп зростання виробництва становив 100,2 %, що свiдчить про майже стабiльний рiвень виробництва на ринку.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w:t>
      </w:r>
      <w:r>
        <w:rPr>
          <w:rFonts w:ascii="Times New Roman CYR" w:hAnsi="Times New Roman CYR" w:cs="Times New Roman CYR"/>
          <w:sz w:val="24"/>
          <w:szCs w:val="24"/>
        </w:rPr>
        <w:t>нологiй, якi використовує особа у своїй дiяльностi;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займається виготовленням санiтарно-гiгiєнiчної продукцiї (туалетний папiр, рушники, серветки) як з привiзної первинної сировини (листової целюлози) так i шляхом переробки вторинної - (макула</w:t>
      </w:r>
      <w:r>
        <w:rPr>
          <w:rFonts w:ascii="Times New Roman CYR" w:hAnsi="Times New Roman CYR" w:cs="Times New Roman CYR"/>
          <w:sz w:val="24"/>
          <w:szCs w:val="24"/>
        </w:rPr>
        <w:t>тури).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Виготовлення продукцiї з первинної сировини (целюлози) проходить у кiлька етапiв: розпуск листової целюлози, процес розмелювання та дорозпуску, виготовлення паперу-основи на папероробнiй машинi та подальший конвертинг на виробничих лiнiях у готовi </w:t>
      </w:r>
      <w:r>
        <w:rPr>
          <w:rFonts w:ascii="Times New Roman CYR" w:hAnsi="Times New Roman CYR" w:cs="Times New Roman CYR"/>
          <w:sz w:val="24"/>
          <w:szCs w:val="24"/>
        </w:rPr>
        <w:t>листовi та рулоннi продукти.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Випуск продукцiї макулатурного сегменту на етапi переробки макулатури проходить у дещо складнiший спосiб, оскiльки потребує кiлька етапiв очищення сировини вiд стороннiх включень (металу, пластику, наповнювачiв). Подальше виго</w:t>
      </w:r>
      <w:r>
        <w:rPr>
          <w:rFonts w:ascii="Times New Roman CYR" w:hAnsi="Times New Roman CYR" w:cs="Times New Roman CYR"/>
          <w:sz w:val="24"/>
          <w:szCs w:val="24"/>
        </w:rPr>
        <w:t>товлення паперу-основи та конвертингу у готовi вироби є аналогiчним iз целюлозним потоком.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2025 роцi обсяг виробництва туалетного паперу загалом по Українi збiльшився вiдносно минулого року. </w:t>
      </w:r>
      <w:r>
        <w:rPr>
          <w:rFonts w:ascii="Times New Roman CYR" w:hAnsi="Times New Roman CYR" w:cs="Times New Roman CYR"/>
          <w:sz w:val="24"/>
          <w:szCs w:val="24"/>
        </w:rPr>
        <w:t>АТ "Кохавинська паперова фабрика" пiд торгiвельною маркою "Кохавинка", "Mildi" та "Кохавинська папiрня" є важливим гравцем галузi. Так, у 2025 р. пiдприємством було вироблено 146871 тис. рулончикiв туалетного паперу, що на 7,0 % бiльше, нiж у 2024 р. (1372</w:t>
      </w:r>
      <w:r>
        <w:rPr>
          <w:rFonts w:ascii="Times New Roman CYR" w:hAnsi="Times New Roman CYR" w:cs="Times New Roman CYR"/>
          <w:sz w:val="24"/>
          <w:szCs w:val="24"/>
        </w:rPr>
        <w:t>03 тис. рулонiв).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чином, частка обсягу виробництва пiдприємства на ринку у 2025 р. становила близько 25,2 %, що свiдчить про посилення позицiй пiдприємства на ринку целюлозно-паперової продукцiї та пiдвищення його конкурентоспроможностi. Основними к</w:t>
      </w:r>
      <w:r>
        <w:rPr>
          <w:rFonts w:ascii="Times New Roman CYR" w:hAnsi="Times New Roman CYR" w:cs="Times New Roman CYR"/>
          <w:sz w:val="24"/>
          <w:szCs w:val="24"/>
        </w:rPr>
        <w:t>онкурентами Товариства на ринку паперу санiтарно-гiгiєнiчного призначення є ПАТ "Київський картонно-паперовий комбiнат", ПрАТ "ВГП" та ТОВ ВО "Папiр-Мал", ТОВ "Картонно-паперова компанiя", ТОВ "Блумi".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є власником таких вiдомих марок я</w:t>
      </w:r>
      <w:r>
        <w:rPr>
          <w:rFonts w:ascii="Times New Roman CYR" w:hAnsi="Times New Roman CYR" w:cs="Times New Roman CYR"/>
          <w:sz w:val="24"/>
          <w:szCs w:val="24"/>
        </w:rPr>
        <w:t>к Кохавинка, Mildi та КОХАВИНСЬКА ПАПIРНЯ та представлена у багатьох загальноукраїнських торгiвельних сiтках (Епiцентр, АТБ, Ашан, Метро тощо), а також в декiлькох локальних (Копiйочка, Близенько тощо). Товариство є потужним гравцем на ринку тiсс'ю як Укра</w:t>
      </w:r>
      <w:r>
        <w:rPr>
          <w:rFonts w:ascii="Times New Roman CYR" w:hAnsi="Times New Roman CYR" w:cs="Times New Roman CYR"/>
          <w:sz w:val="24"/>
          <w:szCs w:val="24"/>
        </w:rPr>
        <w:t>їни, так i Схiдної Європи з великою часткою експорту (50%+), є великим платником податкiв України та бюджетоутворюючим пiдприємством на територiї здiйснення господарської дiяльностi.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конкуренцiї в галузi, основнi конкуренти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конкурентами пiдприємства на ринку паперу санiтарно-гiгiєнiчного призначення є ПрАТ "Київський картонно-паперовий комбiнат", обсяг виробництва якого у 2025 р. становив 265226 тис. рулонiв, ПрАТ "ВГП" - 78741 тис. рулонiв, а також ТОВ "Блумi" - 49</w:t>
      </w:r>
      <w:r>
        <w:rPr>
          <w:rFonts w:ascii="Times New Roman CYR" w:hAnsi="Times New Roman CYR" w:cs="Times New Roman CYR"/>
          <w:sz w:val="24"/>
          <w:szCs w:val="24"/>
        </w:rPr>
        <w:t>902 тис. рулонiв. Помiтними учасниками ринку залишаються також ТОВ ВО "Папiр-Мал", яке у 2025 р. виробило 34567 тис. рулонiв, та ТОВ "Картонно-паперова компанiя" з обсягом виробництва 7781 тис. рулонiв.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Загалом аналiз структури ринку свiдчить про високий </w:t>
      </w:r>
      <w:r>
        <w:rPr>
          <w:rFonts w:ascii="Times New Roman CYR" w:hAnsi="Times New Roman CYR" w:cs="Times New Roman CYR"/>
          <w:sz w:val="24"/>
          <w:szCs w:val="24"/>
        </w:rPr>
        <w:t>рiвень конкуренцiї серед виробникiв паперу санiтарно-гiгiєнiчного призначення, водночас АТ "Кохавинська паперова фабрика" посiдає одне з провiдних мiсць серед виробникiв цiєї продукцiї в Українi.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Збiльшення обсягiв </w:t>
      </w:r>
      <w:r>
        <w:rPr>
          <w:rFonts w:ascii="Times New Roman CYR" w:hAnsi="Times New Roman CYR" w:cs="Times New Roman CYR"/>
          <w:sz w:val="24"/>
          <w:szCs w:val="24"/>
        </w:rPr>
        <w:t>виробництва продукцiї та розширення ринкiв збуту продукцiї.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якщо, особа є фiнансовою установою, то вказується iнформацiя передбачена пунктами 1 (в тому числi перелiк банкiвських та фiнансових послуг, якi фактично надавались такою фiнансовою уста</w:t>
      </w:r>
      <w:r>
        <w:rPr>
          <w:rFonts w:ascii="Times New Roman CYR" w:hAnsi="Times New Roman CYR" w:cs="Times New Roman CYR"/>
          <w:sz w:val="24"/>
          <w:szCs w:val="24"/>
        </w:rPr>
        <w:t>новою протягом звiтного перiоду), 4, 11-15.</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Опис ризикiв, як притаманнi дiяльностi особи, пiдходи до управлiння ризиками, заходи особи щодо зменшення впливу ризикiв.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i управлiння ри</w:t>
      </w:r>
      <w:r>
        <w:rPr>
          <w:rFonts w:ascii="Times New Roman CYR" w:hAnsi="Times New Roman CYR" w:cs="Times New Roman CYR"/>
          <w:sz w:val="24"/>
          <w:szCs w:val="24"/>
        </w:rPr>
        <w:t>зиками визначає всi внутрiшнi правила та процедури контролю, запровадженi керiвництвом для досягнення поставленої мети - забезпечення (в межах можливого) стабiльного i ефективного функцiонування Товариства, дотримання внутрiшньогосподарської полiтики, збер</w:t>
      </w:r>
      <w:r>
        <w:rPr>
          <w:rFonts w:ascii="Times New Roman CYR" w:hAnsi="Times New Roman CYR" w:cs="Times New Roman CYR"/>
          <w:sz w:val="24"/>
          <w:szCs w:val="24"/>
        </w:rPr>
        <w:t>еження та рацiонального використання активiв.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i управлiння ризиками в Товариствi використовуються рiзнi методи, вони включають в себе такi елементи, як: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w:t>
      </w:r>
      <w:r>
        <w:rPr>
          <w:rFonts w:ascii="Times New Roman CYR" w:hAnsi="Times New Roman CYR" w:cs="Times New Roman CYR"/>
          <w:sz w:val="24"/>
          <w:szCs w:val="24"/>
        </w:rPr>
        <w:t>я, рахунки i подвiйний запис);</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ревiзiя (перевiрка документiв, перевiрка вiрностi арифметичних розрахункiв, перевiрка дотримання правил облiку окремих госп</w:t>
      </w:r>
      <w:r>
        <w:rPr>
          <w:rFonts w:ascii="Times New Roman CYR" w:hAnsi="Times New Roman CYR" w:cs="Times New Roman CYR"/>
          <w:sz w:val="24"/>
          <w:szCs w:val="24"/>
        </w:rPr>
        <w:t>одарських операцiй, iнвентаризацiя, усне опитування персоналу, пiдтвердження i простежування).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ризиками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Особами, вiдповiдальними за внутрiшнiй контроль та управлiння ризиками є головний виконавчий директор та головний бухгалтер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Окремої декларацiї схильностi до ризикiв в Товариствi немає, оскiльки його обов'язкова наявнiсть не передбачена чинним </w:t>
      </w:r>
      <w:r>
        <w:rPr>
          <w:rFonts w:ascii="Times New Roman CYR" w:hAnsi="Times New Roman CYR" w:cs="Times New Roman CYR"/>
          <w:sz w:val="24"/>
          <w:szCs w:val="24"/>
        </w:rPr>
        <w:t>законодавством України. Управлiння ризиками Товариства являє собою процес їх мiнiмiзацiї або мiнiмiзацiї їхнiх наслiдкiв. Основнi фiнансовi iнструменти Товариства, якi несуть в собi фiнансовi ризики, включають грошовi кошти, дебiторську заборгованiсть, кре</w:t>
      </w:r>
      <w:r>
        <w:rPr>
          <w:rFonts w:ascii="Times New Roman CYR" w:hAnsi="Times New Roman CYR" w:cs="Times New Roman CYR"/>
          <w:sz w:val="24"/>
          <w:szCs w:val="24"/>
        </w:rPr>
        <w:t>диторську заборгованiсть, кредити, та пiддаються наступним фiнансовим ризикам: ринковий, ризик втрати лiквiдностi, кредитний ризик.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зазначених вище, суттєвий вплив на дiяльнiсть Товариства можуть мати такi зовнiшнi ризики, як: нестабiльнiсть, супереч</w:t>
      </w:r>
      <w:r>
        <w:rPr>
          <w:rFonts w:ascii="Times New Roman CYR" w:hAnsi="Times New Roman CYR" w:cs="Times New Roman CYR"/>
          <w:sz w:val="24"/>
          <w:szCs w:val="24"/>
        </w:rPr>
        <w:t>ливiсть законодавства; непередбаченi дiї державних органiв; нестабiльнiсть економiчної (фiнансової, податкової, зовнiшньоекономiчної i iн.) полiтики; непередбачена змiна кон'юнктури внутрiшнього i зовнiшнього ринку; непередбаченi дiї конкурентiв.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w:t>
      </w:r>
      <w:r>
        <w:rPr>
          <w:rFonts w:ascii="Times New Roman CYR" w:hAnsi="Times New Roman CYR" w:cs="Times New Roman CYR"/>
          <w:sz w:val="24"/>
          <w:szCs w:val="24"/>
        </w:rPr>
        <w:t xml:space="preserve"> внутрiшнього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9. Стратегiя подальшої дiяльностi особи щонайменше на рiк (щодо розширення </w:t>
      </w:r>
      <w:r>
        <w:rPr>
          <w:rFonts w:ascii="Times New Roman CYR" w:hAnsi="Times New Roman CYR" w:cs="Times New Roman CYR"/>
          <w:sz w:val="24"/>
          <w:szCs w:val="24"/>
        </w:rPr>
        <w:t>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Ринок паперової основи в Українi є ключовим компонентом виробництва санiтарно-гiгiєнiчних виробiв. До повномасштабног</w:t>
      </w:r>
      <w:r>
        <w:rPr>
          <w:rFonts w:ascii="Times New Roman CYR" w:hAnsi="Times New Roman CYR" w:cs="Times New Roman CYR"/>
          <w:sz w:val="24"/>
          <w:szCs w:val="24"/>
        </w:rPr>
        <w:t>о вторгнення вiн демонстрував стабiльне зростання (близько 10 % щорiчно), однак у 2022 роцi вiдбулося рiзке падiння виробництва. Вже у 2023-2024 роках спостерiгається поступове вiдновлення - внутрiшнє виробництво досягло 77 % довоєнного рiвня, а ємнiсть ри</w:t>
      </w:r>
      <w:r>
        <w:rPr>
          <w:rFonts w:ascii="Times New Roman CYR" w:hAnsi="Times New Roman CYR" w:cs="Times New Roman CYR"/>
          <w:sz w:val="24"/>
          <w:szCs w:val="24"/>
        </w:rPr>
        <w:t xml:space="preserve">нку - 82-83 %. Незважаючи на зниження експорту через воєннi умови, активiзацiя експортної дiяльностi, зокрема компанiєю АТ "Кохавинська ПФ", свiдчить про позитивнi перспективи вiдновлення ринку.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целюлознi, так i макулатурнi матерiали демонстрували ста</w:t>
      </w:r>
      <w:r>
        <w:rPr>
          <w:rFonts w:ascii="Times New Roman CYR" w:hAnsi="Times New Roman CYR" w:cs="Times New Roman CYR"/>
          <w:sz w:val="24"/>
          <w:szCs w:val="24"/>
        </w:rPr>
        <w:t>бiльне зростання до 2021 року, рiзко скоротилися у 2022 роцi, а згодом почали вiдновлюватися, проте повiльнiшими темпами.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шiсть рокiв основнi виробники та iмпортери залишилися незмiнними, що свiдчить про стiйкiсть ринкової структури i високi бар'єри дл</w:t>
      </w:r>
      <w:r>
        <w:rPr>
          <w:rFonts w:ascii="Times New Roman CYR" w:hAnsi="Times New Roman CYR" w:cs="Times New Roman CYR"/>
          <w:sz w:val="24"/>
          <w:szCs w:val="24"/>
        </w:rPr>
        <w:t xml:space="preserve">я входу нових операторiв.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тенденцiя зростання зберiгається - обсяг виробництва збiльшився порiвняно з аналогiчним перiодом минулого року, що свiдчить про поступове вiдновлення виробничих потужностей i пiдвищення стiйкостi галузi.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w:t>
      </w:r>
      <w:r>
        <w:rPr>
          <w:rFonts w:ascii="Times New Roman CYR" w:hAnsi="Times New Roman CYR" w:cs="Times New Roman CYR"/>
          <w:sz w:val="24"/>
          <w:szCs w:val="24"/>
        </w:rPr>
        <w:t>ом, ринок демонструє поступове вiдновлення пiсля кризових перiодiв. Проблематикою залишаються виклики, що пов'язанi з високою конкуренцiєю, логiстичними ризиками та зростанням екологiчних вимог, що вимагає постiйного удосконалення виробничих процесiв i ада</w:t>
      </w:r>
      <w:r>
        <w:rPr>
          <w:rFonts w:ascii="Times New Roman CYR" w:hAnsi="Times New Roman CYR" w:cs="Times New Roman CYR"/>
          <w:sz w:val="24"/>
          <w:szCs w:val="24"/>
        </w:rPr>
        <w:t>птацiї до нових економiчних умов.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продовжує залишатися ключовим гравцем ринку сангiгiєни з диверсифiкованою пропозицiєю в макулатурному та целюлозному сегментах по бiльшостi видiв продукцiї. У жовтнi 2025 року було введено в експлуатац</w:t>
      </w:r>
      <w:r>
        <w:rPr>
          <w:rFonts w:ascii="Times New Roman CYR" w:hAnsi="Times New Roman CYR" w:cs="Times New Roman CYR"/>
          <w:sz w:val="24"/>
          <w:szCs w:val="24"/>
        </w:rPr>
        <w:t>iю ще одну нову лiнiю по виробництву рушникiв паперових в листах типу VV. А протягом наступних двох рокiв планується ввести в експлуатацiю паперову машину №4, що дозволить виробляти до 90 тисяч тонн основи в рiк (целюлозної до 50 тис. тонн та 40+ тис. тонн</w:t>
      </w:r>
      <w:r>
        <w:rPr>
          <w:rFonts w:ascii="Times New Roman CYR" w:hAnsi="Times New Roman CYR" w:cs="Times New Roman CYR"/>
          <w:sz w:val="24"/>
          <w:szCs w:val="24"/>
        </w:rPr>
        <w:t xml:space="preserve"> з макулатури). Проект буде пiдсилений новим твердопаливним котлом потужнiстю 16 МВт теплової енергiї у виглядi насиченої пари, що дозволить замiстити бiльше 8 млн. кубометрiв природнього газу в рiк.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вiдчуження активiв за останнi</w:t>
      </w:r>
      <w:r>
        <w:rPr>
          <w:rFonts w:ascii="Times New Roman CYR" w:hAnsi="Times New Roman CYR" w:cs="Times New Roman CYR"/>
          <w:sz w:val="24"/>
          <w:szCs w:val="24"/>
        </w:rPr>
        <w:t xml:space="preserve">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2021 роц</w:t>
      </w:r>
      <w:r>
        <w:rPr>
          <w:rFonts w:ascii="Times New Roman CYR" w:hAnsi="Times New Roman CYR" w:cs="Times New Roman CYR"/>
          <w:sz w:val="24"/>
          <w:szCs w:val="24"/>
        </w:rPr>
        <w:t>i склало понад 447,3 млн. грн. Освоєно протягом року iнвестицiй на суму 139,4 млн. грн. та сплачено коштiв у виглядi авансових платежiв станом на 31.12.2021 р. по iнвестицiях на суму 319,1 млн.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2022 роцi склало понад 337,5 млн. грн. Але за рахунок сплачених авансових платежiв в iнвестицiях в 2021 р. освоєно протягом звiтного року капiтальних iнвестицiй на рекордну для пiдприємства суму 697,9 млн. грн</w:t>
      </w:r>
      <w:r>
        <w:rPr>
          <w:rFonts w:ascii="Times New Roman CYR" w:hAnsi="Times New Roman CYR" w:cs="Times New Roman CYR"/>
          <w:sz w:val="24"/>
          <w:szCs w:val="24"/>
        </w:rPr>
        <w:t>. Значна доля в них припадає саме на великий проект: "Будiвництво виробничо-складського корпусу по виготовленню санiтарно-гiгiєнiчних видiв паперу iз привiзних напiвфабрикатiв". Введено в експлуатацiю активiв на суму 7,6 млн.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w:t>
      </w:r>
      <w:r>
        <w:rPr>
          <w:rFonts w:ascii="Times New Roman CYR" w:hAnsi="Times New Roman CYR" w:cs="Times New Roman CYR"/>
          <w:sz w:val="24"/>
          <w:szCs w:val="24"/>
        </w:rPr>
        <w:t>вестицiйної програми в 2023 роцi склало 136,5 млн. грн., i це було здiйснено виключно за рахунок власних коштiв. Але за рахунок сплачених авансових платежiв в iнвестицiях ще в 2022 р. освоєно протягом звiтного року капiтальних iнвестицiй на суму 143,8 млн.</w:t>
      </w:r>
      <w:r>
        <w:rPr>
          <w:rFonts w:ascii="Times New Roman CYR" w:hAnsi="Times New Roman CYR" w:cs="Times New Roman CYR"/>
          <w:sz w:val="24"/>
          <w:szCs w:val="24"/>
        </w:rPr>
        <w:t xml:space="preserve"> грн. Майже вся сума припадає саме на великий проект. Введено в експлуатацiю активiв на суму 169,6 млн. грн., з них 150,7 млн. - виробнича лiнiя з конвертингу основи-паперу.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Центральною частиною iнвестицiйної програми АТ "Кохавинська паперова фабрика" в 2</w:t>
      </w:r>
      <w:r>
        <w:rPr>
          <w:rFonts w:ascii="Times New Roman CYR" w:hAnsi="Times New Roman CYR" w:cs="Times New Roman CYR"/>
          <w:sz w:val="24"/>
          <w:szCs w:val="24"/>
        </w:rPr>
        <w:t>024 роцi було введення в експлуатацiю виробничо-складського корпусу по виготовленню санiтарно-гiгiєнiчних видiв паперу iз привiзних напiвфабрикатiв (целюлоза). Також, в травнi 2024 року був отриманий сертифiкат про введення в експлуатацiю будiвлю виробничо</w:t>
      </w:r>
      <w:r>
        <w:rPr>
          <w:rFonts w:ascii="Times New Roman CYR" w:hAnsi="Times New Roman CYR" w:cs="Times New Roman CYR"/>
          <w:sz w:val="24"/>
          <w:szCs w:val="24"/>
        </w:rPr>
        <w:t>-складського корпусу по виготовленню санiтарно-гiгiєнiчних видiв паперу iз привiзних напiвфабрикатiв (целюлоза).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цiлому, у 2024 роцi пiдприємство демонструє чiтко виражену орiєнтацiю на розширення виробничої бази та диверсифiкацiю асортименту продукцiї,</w:t>
      </w:r>
      <w:r>
        <w:rPr>
          <w:rFonts w:ascii="Times New Roman CYR" w:hAnsi="Times New Roman CYR" w:cs="Times New Roman CYR"/>
          <w:sz w:val="24"/>
          <w:szCs w:val="24"/>
        </w:rPr>
        <w:t xml:space="preserve"> що є надзвичайно позитивним кроком для майбутнього розвитку, пiдвищення ефективностi й конкуренто-спроможностi на ринку.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2024 роцi склало 113,2 млн. грн., i це було здiйснено виключно за рахунок власних кош</w:t>
      </w:r>
      <w:r>
        <w:rPr>
          <w:rFonts w:ascii="Times New Roman CYR" w:hAnsi="Times New Roman CYR" w:cs="Times New Roman CYR"/>
          <w:sz w:val="24"/>
          <w:szCs w:val="24"/>
        </w:rPr>
        <w:t>тiв (отриманих прибуткiв та амортизацiйних вiдрахувань).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встановлено та введення в екплуатацiю обладнання виробничої лiнiї паперових рушникiв V-V нового поколiння по макулатурному потоку з метою збiльшення асортименту з виготовленням  рушникiв</w:t>
      </w:r>
      <w:r>
        <w:rPr>
          <w:rFonts w:ascii="Times New Roman CYR" w:hAnsi="Times New Roman CYR" w:cs="Times New Roman CYR"/>
          <w:sz w:val="24"/>
          <w:szCs w:val="24"/>
        </w:rPr>
        <w:t xml:space="preserve"> типу V-V макулатурної продукцiї та збiльшенням  обсягiв продажу.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Загальний обсяг освоєних капiтальних iнвестицiй у 2025 роцi становив 73 541 тис. грн., що на 15% бiльше, нiж у 2024 роцi (63 449 тис. грн). Водночас активiв, що було введено в експлуатацiю </w:t>
      </w:r>
      <w:r>
        <w:rPr>
          <w:rFonts w:ascii="Times New Roman CYR" w:hAnsi="Times New Roman CYR" w:cs="Times New Roman CYR"/>
          <w:sz w:val="24"/>
          <w:szCs w:val="24"/>
        </w:rPr>
        <w:t>трохи менше - 72 971 тис. грн., що свiдчить про майже повне завершення iнвестицiйного циклу поточного року. Невелика рiзниця мiж показниками пояснюється незавершеними iнвестицiями 2025 року, що будуть реалiзованi в наступних перiодах.</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цiлому, у 2025 роц</w:t>
      </w:r>
      <w:r>
        <w:rPr>
          <w:rFonts w:ascii="Times New Roman CYR" w:hAnsi="Times New Roman CYR" w:cs="Times New Roman CYR"/>
          <w:sz w:val="24"/>
          <w:szCs w:val="24"/>
        </w:rPr>
        <w:t>i пiдприємство продовжує демонструвати виражену орiєнтацiю на розширення виробничої бази (iнвестицiї у машини та обладнання складають бiльше 65%) та диверсифiкацiю асортименту продукцiї, що є надзвичайно позитивним кроком для майбутнього розвитку, пiдвищен</w:t>
      </w:r>
      <w:r>
        <w:rPr>
          <w:rFonts w:ascii="Times New Roman CYR" w:hAnsi="Times New Roman CYR" w:cs="Times New Roman CYR"/>
          <w:sz w:val="24"/>
          <w:szCs w:val="24"/>
        </w:rPr>
        <w:t>ня ефективностi й конкурентоспроможностi на ринку.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2025 роцi склало 122,6 млн. грн., в т.ч. 29 млн. грн. на погашення двох векселiв перед INTESA SANPAOLO S.P.A. за лiнiю з конвертингу Maflex (Лiнiя №10) - все</w:t>
      </w:r>
      <w:r>
        <w:rPr>
          <w:rFonts w:ascii="Times New Roman CYR" w:hAnsi="Times New Roman CYR" w:cs="Times New Roman CYR"/>
          <w:sz w:val="24"/>
          <w:szCs w:val="24"/>
        </w:rPr>
        <w:t xml:space="preserve"> було здiйснено виключно за рахунок власних коштiв (отриманих прибуткiв та амортизацiйних вiдрахувань). Перевагами такої полiтики є вiдсутнiсть додаткового фiнансового навантаження та вища фiнансова стiйкiсть пiдприємства, а також незалежнiсть вiд кредитор</w:t>
      </w:r>
      <w:r>
        <w:rPr>
          <w:rFonts w:ascii="Times New Roman CYR" w:hAnsi="Times New Roman CYR" w:cs="Times New Roman CYR"/>
          <w:sz w:val="24"/>
          <w:szCs w:val="24"/>
        </w:rPr>
        <w:t>iв. При цьому є i недолiки: недовикористання фiнансового левериджу та обмеження темпiв масштабування бiзнесу в цiлому чи окремих його компонентiв.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протягом наступних двох рокiв планується здудувати новий папероробний цех № 2 по виготовленню санiтарно-гi</w:t>
      </w:r>
      <w:r>
        <w:rPr>
          <w:rFonts w:ascii="Times New Roman CYR" w:hAnsi="Times New Roman CYR" w:cs="Times New Roman CYR"/>
          <w:sz w:val="24"/>
          <w:szCs w:val="24"/>
        </w:rPr>
        <w:t>гiєнiчних видiв паперу iз привiзних напiвфабрикатiв та купити i ввести в експлуатацiю папероробну машину №4.</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 особи щодо них; виробничi потужностi та ступiнь використання облад</w:t>
      </w:r>
      <w:r>
        <w:rPr>
          <w:rFonts w:ascii="Times New Roman CYR" w:hAnsi="Times New Roman CYR" w:cs="Times New Roman CYR"/>
          <w:sz w:val="24"/>
          <w:szCs w:val="24"/>
        </w:rPr>
        <w:t xml:space="preserve">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w:t>
      </w:r>
      <w:r>
        <w:rPr>
          <w:rFonts w:ascii="Times New Roman CYR" w:hAnsi="Times New Roman CYR" w:cs="Times New Roman CYR"/>
          <w:sz w:val="24"/>
          <w:szCs w:val="24"/>
        </w:rPr>
        <w:t>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пiдроздiлами пiдприємства є:</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паперове виробництво, де функцiонують три папероробнi машини: двi макулатурного виробництва та одна целюлозна (ПРМ №3), загальною потужнiстю понад 64 тис. тон паперу-основи на рiк;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СГВП - виробництво санiтарно-гiгiєнiчних виробiв на макулатурнiй основi;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СГВП 2 - виробництво санiтарно-гiгiєнiчних виробiв на целюлознiй основi.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пiдприємство продовжило стабiльне нарощування виробничих обсягiв та пiдвищення ефективностi роботи.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Папероробнi машини виготовили таку кiлькiсть паперу-основи: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ПРМ №1 - 24,3 тис. тон (макулатурна),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ПРМ №2 - 16,6 тис. тон (макулатурна),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ПРМ №3 - 23,5 тис. тон (целюлозна).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Такi обсяги виробництва дозволили змiцнити ринковi позицiї пiдприємства та забезпечити високу якiсть продукцiї.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Пiдроздiл виробництва СГВП в</w:t>
      </w:r>
      <w:r>
        <w:rPr>
          <w:rFonts w:ascii="Times New Roman CYR" w:hAnsi="Times New Roman CYR" w:cs="Times New Roman CYR"/>
          <w:sz w:val="24"/>
          <w:szCs w:val="24"/>
        </w:rPr>
        <w:t>ключає 8 технологiчних лiнiй, зокрема: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2 лiнiї з виробництва туалетного паперу без втулки,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1 лiнiя з виробництва туалетного паперу на втулцi,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1 лiнiя з виготовлення паперових втулок,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4 лiнiї з виробництва паперових рушникiв типу V-V.</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w:t>
      </w:r>
      <w:r>
        <w:rPr>
          <w:rFonts w:ascii="Times New Roman CYR" w:hAnsi="Times New Roman CYR" w:cs="Times New Roman CYR"/>
          <w:sz w:val="24"/>
          <w:szCs w:val="24"/>
        </w:rPr>
        <w:t xml:space="preserve"> пiдроздiлу целюлозного напряму - СГВП №2 - входять 4 технологiчнi лiнiї: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туалетного паперу та целюлозних рушникiв на втулцi,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целюлозних рушникiв типу V-V,</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паперових рушникiв типу Z-Z,</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паперових серветок.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Робота пiдроздiлу СГВП №2 та оптимiзацiя виробничих процесiв у 2025 роцi сприяли розширенню асортименту продукцiї, пiдвищенню її якостi та змiцненню конкурентних позицiй пiдприємства.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виробничi пiдроздiли</w:t>
      </w:r>
      <w:r>
        <w:rPr>
          <w:rFonts w:ascii="Times New Roman CYR" w:hAnsi="Times New Roman CYR" w:cs="Times New Roman CYR"/>
          <w:sz w:val="24"/>
          <w:szCs w:val="24"/>
        </w:rPr>
        <w:t xml:space="preserve"> обслуговуються такими допомiжними пiдроздiлами та дiльницями: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транспортним цехом,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ремонтно-механiчною дiльницею,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вiддiлом КВПiА,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електродiльницею,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господарською дiльницею.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Основне виробництво забезпечується теплом, яке виробляється власни</w:t>
      </w:r>
      <w:r>
        <w:rPr>
          <w:rFonts w:ascii="Times New Roman CYR" w:hAnsi="Times New Roman CYR" w:cs="Times New Roman CYR"/>
          <w:sz w:val="24"/>
          <w:szCs w:val="24"/>
        </w:rPr>
        <w:t>м теплоенергоцехом.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Трудовий колектив Товариства складається з 543 працiвникiв, 433 з яких задiянi в основнiй виробничiй дiяльностi та 99 - у допомiжному виробництвi, а 110 - iнженерно-технiчнi працiвники.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пiдприємства є забезпечення виробництва продукцiї у вiдповiдностi до вимог чинного законодавства, дiючих нормативних документiв, гарантування безпеки проведення робiт та вiдповiдностi продукцiї, що виготовляється, вимогам до її подальшого застосуванн</w:t>
      </w:r>
      <w:r>
        <w:rPr>
          <w:rFonts w:ascii="Times New Roman CYR" w:hAnsi="Times New Roman CYR" w:cs="Times New Roman CYR"/>
          <w:sz w:val="24"/>
          <w:szCs w:val="24"/>
        </w:rPr>
        <w:t>я. Тому на АТ "Кохавинська ПФ":</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впроваджено систему управлiння якiстю (СУЯ) вiдповiдно до нацiонального стандарту ДСТУ EN ISO 9001:2018 ( ISO 9001:2015) з розширенням сфери сертифiкацiї та органiзацiї видачi сертифiкату вiдповiдно до нацiонального станд</w:t>
      </w:r>
      <w:r>
        <w:rPr>
          <w:rFonts w:ascii="Times New Roman CYR" w:hAnsi="Times New Roman CYR" w:cs="Times New Roman CYR"/>
          <w:sz w:val="24"/>
          <w:szCs w:val="24"/>
        </w:rPr>
        <w:t>арту ДСТУ EN ISO 9001:2018 ( ISO 9001:2015).</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-впроваджено систему  екологiчного управлiння (СЕУ) вiдповiдно до нацiонального стандарту ДСТУ ISO 14001:2015 з отриманням вiдповiдного сертифiкату.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проведено сертифiкацiю FSC (Forest Stewardship Council), о</w:t>
      </w:r>
      <w:r>
        <w:rPr>
          <w:rFonts w:ascii="Times New Roman CYR" w:hAnsi="Times New Roman CYR" w:cs="Times New Roman CYR"/>
          <w:sz w:val="24"/>
          <w:szCs w:val="24"/>
        </w:rPr>
        <w:t>тримано вiдповiдний мiжнародний сертифiкат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Кожного року проводяться наглядовi аудити з боку органiв сертифiкацiй на вiдповiднiсть певним стандартам. Також на пiдприємствi проводяться щорiчнi внутрiшнi аудити.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у 2025 р.  витратило 4 023,3 тис</w:t>
      </w:r>
      <w:r>
        <w:rPr>
          <w:rFonts w:ascii="Times New Roman CYR" w:hAnsi="Times New Roman CYR" w:cs="Times New Roman CYR"/>
          <w:sz w:val="24"/>
          <w:szCs w:val="24"/>
        </w:rPr>
        <w:t xml:space="preserve">. грн. на охорону навколишнього природного середовища, з них капiтальнi iнвестицiї становили 1 241,5 тис. грн. та поточнi витрати - 2 781,8 тис. грн. загального обсягу витрат на охорону.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 у 2025 р. пiдприємство основну частину коштiв спрямувало на за</w:t>
      </w:r>
      <w:r>
        <w:rPr>
          <w:rFonts w:ascii="Times New Roman CYR" w:hAnsi="Times New Roman CYR" w:cs="Times New Roman CYR"/>
          <w:sz w:val="24"/>
          <w:szCs w:val="24"/>
        </w:rPr>
        <w:t>побiгання забрудненню стiчними водами шляхом модифiкацiї виробничих процесiв впливу на навколишнє середовище - 1 870,6 тис.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здiйснює внутрiшнiй нагляд за дотриманням законодавства у сферi охорони атмосферного повiтря згiдно чинног</w:t>
      </w:r>
      <w:r>
        <w:rPr>
          <w:rFonts w:ascii="Times New Roman CYR" w:hAnsi="Times New Roman CYR" w:cs="Times New Roman CYR"/>
          <w:sz w:val="24"/>
          <w:szCs w:val="24"/>
        </w:rPr>
        <w:t>о законодавства, тому у 2025 р. затрати на монiторинг становили та дозвiльну документацiю пiдприємство витратило 149,4 тис. грн. У сферi поводження з вiдходами витрати на оплату послуг природоохоронного призначення  (збирання, транспортування вiдходiв до м</w:t>
      </w:r>
      <w:r>
        <w:rPr>
          <w:rFonts w:ascii="Times New Roman CYR" w:hAnsi="Times New Roman CYR" w:cs="Times New Roman CYR"/>
          <w:sz w:val="24"/>
          <w:szCs w:val="24"/>
        </w:rPr>
        <w:t>iсця обробки, утилiзацiї, на розмiщення вiдходiв на полiгон) склали 1 334,8 тис. грн. вiдносно 2024 р. витрати зросли на 29,1% (1034,0 тис.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Також пiдприємство у 2025 р. отримало 65,5 тис грн. вiд реалiзованої побiчної продукцiї "скоп" це на 8,2 % бi</w:t>
      </w:r>
      <w:r>
        <w:rPr>
          <w:rFonts w:ascii="Times New Roman CYR" w:hAnsi="Times New Roman CYR" w:cs="Times New Roman CYR"/>
          <w:sz w:val="24"/>
          <w:szCs w:val="24"/>
        </w:rPr>
        <w:t>льше нiж у 2024р (отримано 60,1 тис.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 загальний обсяг утворених вiдходiв на пiдприємствi становив 9 260 т, що на 710 т (8,3%) бiльше, нiж у 2024 р. (8 550 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результатi загальна сума додаткових надходжень вiд реалiзацiї вiдходiв у 2025</w:t>
      </w:r>
      <w:r>
        <w:rPr>
          <w:rFonts w:ascii="Times New Roman CYR" w:hAnsi="Times New Roman CYR" w:cs="Times New Roman CYR"/>
          <w:sz w:val="24"/>
          <w:szCs w:val="24"/>
        </w:rPr>
        <w:t xml:space="preserve"> р. становила 229 107 грн, що на 51 362 грн (28,9%) бiльше, нiж у 2024 р. Це свiдчить про пiдвищення ефективностi використання вiдходiв та отримання додаткових фiнансових ресурсiв пiдприємством.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їх структура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складу основних засобiв </w:t>
      </w:r>
      <w:r>
        <w:rPr>
          <w:rFonts w:ascii="Times New Roman CYR" w:hAnsi="Times New Roman CYR" w:cs="Times New Roman CYR"/>
          <w:sz w:val="24"/>
          <w:szCs w:val="24"/>
        </w:rPr>
        <w:t>входять майже всi групи ОЗ: земельнi дiлянки, будiвлi та споруди, машини та обладнання, транспортнi засоби, меблi, iнструменти та iншi активи.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"Значна частина активiв використовується як застава пiд кредитнi зобов'язання.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 та правочини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орендує земельнi дiлянки державної (комунальної) власностi. Орендна плата визначається на основi нормативної грошової оцiнки землi, встановленої державними органами. Також мають мiсце оренда транспортних засобiв та виробничого обладнання (гiдравл</w:t>
      </w:r>
      <w:r>
        <w:rPr>
          <w:rFonts w:ascii="Times New Roman CYR" w:hAnsi="Times New Roman CYR" w:cs="Times New Roman CYR"/>
          <w:sz w:val="24"/>
          <w:szCs w:val="24"/>
        </w:rPr>
        <w:t>iчний прес).</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чиннi договори оренди враховуються без визнання активiв з права користування (користування МСФЗ 16) через застосування звiльнення для короткострокових та малоцiнних активiв.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Утримання та амортизацiя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"Метод оцiнки: основнi засоби облiко</w:t>
      </w:r>
      <w:r>
        <w:rPr>
          <w:rFonts w:ascii="Times New Roman CYR" w:hAnsi="Times New Roman CYR" w:cs="Times New Roman CYR"/>
          <w:sz w:val="24"/>
          <w:szCs w:val="24"/>
        </w:rPr>
        <w:t>вуються за справедливою вартiстю мiнус амортизацiя та знецiнення.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ремонт i поточне обслуговування вiдносяться на витрати того перiоду, коли вони виникають. Покращення, якi подовжують строк служби, капiталiзуються.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"Компанiя щороку переглядає </w:t>
      </w:r>
      <w:r>
        <w:rPr>
          <w:rFonts w:ascii="Times New Roman CYR" w:hAnsi="Times New Roman CYR" w:cs="Times New Roman CYR"/>
          <w:sz w:val="24"/>
          <w:szCs w:val="24"/>
        </w:rPr>
        <w:t xml:space="preserve">строки корисного використання та проводить тест на зменшення корисностi активiв.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Виробничi потужностi та використання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виробничi потужностi розташованi у селище Гнiздичiв, Стрийський район, Львiвська обл., за адресою: вул. Коновальця, 6.</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"Потуж</w:t>
      </w:r>
      <w:r>
        <w:rPr>
          <w:rFonts w:ascii="Times New Roman CYR" w:hAnsi="Times New Roman CYR" w:cs="Times New Roman CYR"/>
          <w:sz w:val="24"/>
          <w:szCs w:val="24"/>
        </w:rPr>
        <w:t>ностi забезпечують виробництво паперу-основи, картону та продукцiї санiтарно-гiгiєнiчного призначення (туалетний папiр, рушники, iншi побутовi вироби).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утримує обладнання у робочому станi, здiйснює регулярнi ремонти, а модернiзацiя й замiни капi</w:t>
      </w:r>
      <w:r>
        <w:rPr>
          <w:rFonts w:ascii="Times New Roman CYR" w:hAnsi="Times New Roman CYR" w:cs="Times New Roman CYR"/>
          <w:sz w:val="24"/>
          <w:szCs w:val="24"/>
        </w:rPr>
        <w:t>талiзуються.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"Значна частина обладнання вже замортизована, але продовжує використовуватись, що вказує на високий рiвень завантаження активiв.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паперова фабрика" володiє значним обсягом основних засобiв, частина з яких є заставою за кредита</w:t>
      </w:r>
      <w:r>
        <w:rPr>
          <w:rFonts w:ascii="Times New Roman CYR" w:hAnsi="Times New Roman CYR" w:cs="Times New Roman CYR"/>
          <w:sz w:val="24"/>
          <w:szCs w:val="24"/>
        </w:rPr>
        <w:t>ми. Компанiя орендує землi комунальної власностi та застосовує обачний пiдхiд до облiку за МСФЗ 16. Основнi засоби активно експлуатуються, значна їх частина повнiстю замортизована, що свiдчить про iнтенсивне використання виробничих потужностей. Основнi вир</w:t>
      </w:r>
      <w:r>
        <w:rPr>
          <w:rFonts w:ascii="Times New Roman CYR" w:hAnsi="Times New Roman CYR" w:cs="Times New Roman CYR"/>
          <w:sz w:val="24"/>
          <w:szCs w:val="24"/>
        </w:rPr>
        <w:t>обничi активи розташованi у Львiвськiй областi, у зонi, де не ведуться активнi бойовi дiї, що дозволяє забезпечувати безперервнiсть виробництва.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економiчних обмежень.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дiяльнiсть пiдприємства впливають ризики пов'язанi з воєнним станом, в тому числi кадровий голод на ринку працi. Залежнiсть вiд </w:t>
      </w:r>
      <w:r>
        <w:rPr>
          <w:rFonts w:ascii="Times New Roman CYR" w:hAnsi="Times New Roman CYR" w:cs="Times New Roman CYR"/>
          <w:sz w:val="24"/>
          <w:szCs w:val="24"/>
        </w:rPr>
        <w:t>законодавчих та економiчних обмежень вiдсутня.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Товариство викон</w:t>
      </w:r>
      <w:r>
        <w:rPr>
          <w:rFonts w:ascii="Times New Roman CYR" w:hAnsi="Times New Roman CYR" w:cs="Times New Roman CYR"/>
          <w:sz w:val="24"/>
          <w:szCs w:val="24"/>
        </w:rPr>
        <w:t>ало всi укладенi договори.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w:t>
      </w:r>
      <w:r>
        <w:rPr>
          <w:rFonts w:ascii="Times New Roman CYR" w:hAnsi="Times New Roman CYR" w:cs="Times New Roman CYR"/>
          <w:sz w:val="24"/>
          <w:szCs w:val="24"/>
        </w:rPr>
        <w:t xml:space="preserve">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- 518 осiб.</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порiвняннi з попереднiм звiтним перiо</w:t>
      </w:r>
      <w:r>
        <w:rPr>
          <w:rFonts w:ascii="Times New Roman CYR" w:hAnsi="Times New Roman CYR" w:cs="Times New Roman CYR"/>
          <w:sz w:val="24"/>
          <w:szCs w:val="24"/>
        </w:rPr>
        <w:t>дом фонд оплати працi збiльшився i становить 190889,0 тис.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Протягом звiтного перiоду пропозицiй щодо реорган</w:t>
      </w:r>
      <w:r>
        <w:rPr>
          <w:rFonts w:ascii="Times New Roman CYR" w:hAnsi="Times New Roman CYR" w:cs="Times New Roman CYR"/>
          <w:sz w:val="24"/>
          <w:szCs w:val="24"/>
        </w:rPr>
        <w:t>iзацiї з боку третiх осiб не було.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може бути iстотною для оцiнки стейкхолдерами фiнансового стану та результатiв дiяльностi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Iнформацiю, яка може бути iстотною для оцiнки фiнансового стану та результатiв дiяльностi товарист</w:t>
      </w:r>
      <w:r>
        <w:rPr>
          <w:rFonts w:ascii="Times New Roman CYR" w:hAnsi="Times New Roman CYR" w:cs="Times New Roman CYR"/>
          <w:sz w:val="24"/>
          <w:szCs w:val="24"/>
        </w:rPr>
        <w:t>ва, стейкхолдери можуть отримати на сайтi Товариства https://www.kpf.ua/</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13180414202400616</w:t>
            </w:r>
          </w:p>
        </w:tc>
        <w:tc>
          <w:tcPr>
            <w:tcW w:w="1065"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24.01.2025</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ДПС у Львiвськiй областi</w:t>
            </w:r>
          </w:p>
        </w:tc>
        <w:tc>
          <w:tcPr>
            <w:tcW w:w="12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30.12.2029</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1 475 672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1 827 980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1 475 672</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1 827 980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325 003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483 659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325 003</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483 659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1 102 067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1 257 761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1 102 067</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1 257 761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18 123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30 990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18 123</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30 990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22 712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22 712</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7 767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9 849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7 767</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9 849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1 548</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1 548</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1 477 220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1 830 293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1 477 220</w:t>
            </w:r>
          </w:p>
        </w:tc>
        <w:tc>
          <w:tcPr>
            <w:tcW w:w="1082"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1 830 293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та умови користування основними засобами (за основними групами): Будiвлi та споруди - 20-40 рокiв, машини та обладнання - 5-15 рокiв, транспортнi засобi - 8  рокiв.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(переоцiнена) вартiсть основних засобiв - 1 832 030 тис. грн., сума нарахов</w:t>
            </w:r>
            <w:r>
              <w:rPr>
                <w:rFonts w:ascii="Times New Roman CYR" w:hAnsi="Times New Roman CYR" w:cs="Times New Roman CYR"/>
              </w:rPr>
              <w:t>аного зносу - 1 737 тис. грн., ступiнь зносу - 0,09%, ступiнь використання - 92,7 %.</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Змiни у вартостi основних засобiв вiдбулися за рахунок надходження нових ОЗ, вибуття проданих чи лiквiдованих ОЗ та зменшення їх залишкової вартостi через нарахування амор</w:t>
            </w:r>
            <w:r>
              <w:rPr>
                <w:rFonts w:ascii="Times New Roman CYR" w:hAnsi="Times New Roman CYR" w:cs="Times New Roman CYR"/>
              </w:rPr>
              <w:t>тизацiї в звiтному перiодi.</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Обмеження на використання майна, що знаходиться в заставi, вартiстю 743716 тис. грн.</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1 625 302</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1 115 361</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712</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712</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712</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712</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228 272,75</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w:t>
            </w:r>
            <w:r>
              <w:rPr>
                <w:rFonts w:ascii="Times New Roman CYR" w:hAnsi="Times New Roman CYR" w:cs="Times New Roman CYR"/>
              </w:rPr>
              <w:t>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145,72</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бiльша вiд розмiру статутного капiталу, що вiдповiдає вимогам ч. 2 ст. 16 Закону України "Про акцiонернi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w:t>
            </w:r>
            <w:r>
              <w:rPr>
                <w:rFonts w:ascii="Times New Roman CYR" w:hAnsi="Times New Roman CYR" w:cs="Times New Roman CYR"/>
              </w:rPr>
              <w:t>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448 866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довгостроковi кредити банкiв</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26.07.2024</w:t>
            </w: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293 886</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04.07.2029</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короткостроковi кредити банкiв</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07.02.2025</w:t>
            </w: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37 421</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11.02.2026</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заборгованiсть по довгостроковим зобов'язанням</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31.12.2024</w:t>
            </w: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117 559</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31.12.2025</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59 292</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59 292</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частина</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20.09.2022</w:t>
            </w: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28 227</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03.08.2027</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частина</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30.09.2024</w:t>
            </w: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31 065</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31.08.2025</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9 736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7 008</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1 483</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384</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Збiр за забруднення навколишнього середовища</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Орендна плата за земельну дiлянку</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172</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Рентна плата за спецвикористання водних ресурсiв</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480</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229 136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товари,роботи,послуги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67 429</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1 487</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5 954</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4 212</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698</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29 803</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1 397</w:t>
            </w:r>
          </w:p>
        </w:tc>
        <w:tc>
          <w:tcPr>
            <w:tcW w:w="194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747 030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Папiр-основа</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25028 тонн</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1128997,19</w:t>
            </w:r>
          </w:p>
        </w:tc>
        <w:tc>
          <w:tcPr>
            <w:tcW w:w="22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25244 тонни</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1140334,09</w:t>
            </w:r>
          </w:p>
        </w:tc>
        <w:tc>
          <w:tcPr>
            <w:tcW w:w="22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Вироби санiтарно-гiгiєнiчного та побутового призначення</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182155 тис.шт</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1442488,15</w:t>
            </w:r>
          </w:p>
        </w:tc>
        <w:tc>
          <w:tcPr>
            <w:tcW w:w="22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183277 тис.шт</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1443893,69</w:t>
            </w:r>
          </w:p>
        </w:tc>
        <w:tc>
          <w:tcPr>
            <w:tcW w:w="22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Матерiальнi затрати</w:t>
            </w:r>
          </w:p>
        </w:tc>
        <w:tc>
          <w:tcPr>
            <w:tcW w:w="5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Витрати на оплату працi</w:t>
            </w:r>
          </w:p>
        </w:tc>
        <w:tc>
          <w:tcPr>
            <w:tcW w:w="5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Вiдрахування на соцiальнi заходи</w:t>
            </w:r>
          </w:p>
        </w:tc>
        <w:tc>
          <w:tcPr>
            <w:tcW w:w="5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пов'зана з ними дiяльнiсть</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w:t>
            </w:r>
            <w:r>
              <w:rPr>
                <w:rFonts w:ascii="Times New Roman CYR" w:hAnsi="Times New Roman CYR" w:cs="Times New Roman CYR"/>
              </w:rPr>
              <w:t>стем</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м.Київ, вул. Антоновича, буд.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w:t>
            </w:r>
            <w:r>
              <w:rPr>
                <w:rFonts w:ascii="Times New Roman CYR" w:hAnsi="Times New Roman CYR" w:cs="Times New Roman CYR"/>
              </w:rPr>
              <w:t>енню економiчної дiяльностi</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"НЕКСIЯ ДК АУДИТ"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32409677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79029, Україна, м.Львiв, вул.Антоновича В., будинок 102В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+38(050) 298 85 85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з пр</w:t>
            </w:r>
            <w:r>
              <w:rPr>
                <w:rFonts w:ascii="Times New Roman CYR" w:hAnsi="Times New Roman CYR" w:cs="Times New Roman CYR"/>
              </w:rPr>
              <w:t>оведення обов'язкового аудиту фiнансової звiтностi</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"Кредобанк"</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09807862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79026, Україна, м. Львiв, вул. Сахарова, буд.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AE286595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Дата видачі </w:t>
            </w:r>
            <w:r>
              <w:rPr>
                <w:rFonts w:ascii="Times New Roman CYR" w:hAnsi="Times New Roman CYR" w:cs="Times New Roman CYR"/>
              </w:rPr>
              <w:t>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+38(032) 297-23-12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64.19 - Iншi види грошового посередництва (основний)</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зберiгача цiнних паперiв</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2000"/>
        <w:gridCol w:w="2000"/>
        <w:gridCol w:w="1900"/>
        <w:gridCol w:w="2000"/>
        <w:gridCol w:w="2000"/>
        <w:gridCol w:w="3000"/>
      </w:tblGrid>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Облік часток особи в обліковій системі часток</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Акцiя проста електронна iменна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239/1/11</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2 847 328</w:t>
            </w:r>
          </w:p>
        </w:tc>
        <w:tc>
          <w:tcPr>
            <w:tcW w:w="19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Кожною простою акцiєю Товариства її власнику-акцiонеру надається однакова сукупнiсть прав, включаючи права на: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участь в управлiннi Товариством особисто або через свого представника (представникiв), який призначається акцiонером у вiдповiдностi до вимог </w:t>
            </w:r>
            <w:r>
              <w:rPr>
                <w:rFonts w:ascii="Times New Roman CYR" w:hAnsi="Times New Roman CYR" w:cs="Times New Roman CYR"/>
              </w:rPr>
              <w:t>закону;</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отримання дивiдендiв;</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отримання у разi лiквiдацiї Товариства частини його майна або вартостi частини майна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отримання iнформацiї про господарську дiяльнiсть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Одна проста акцiя Товариства надає акцiонеру один голос для вирiшення кожного питання на загальних зборах акцiонерiв.</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Акцiонери-власники простих акцiй Товариства можуть мати й iншi права, передбаченi актами законодавства та цим Статутом.</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Акцiонери то</w:t>
            </w:r>
            <w:r>
              <w:rPr>
                <w:rFonts w:ascii="Times New Roman CYR" w:hAnsi="Times New Roman CYR" w:cs="Times New Roman CYR"/>
              </w:rPr>
              <w:t>вариства можуть вiдчужувати належнi їм акцiї без згоди iнших акцiонерiв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Акцiонери Товариства в порядку визначеному законом та у його вiдповiдностi, мають право укласти мiж собою корпоративний договiр, за яким акцiонери Товариства зобов'язують</w:t>
            </w:r>
            <w:r>
              <w:rPr>
                <w:rFonts w:ascii="Times New Roman CYR" w:hAnsi="Times New Roman CYR" w:cs="Times New Roman CYR"/>
              </w:rPr>
              <w:t>ся реалiзовувати свої права та повноваження певним чином або утримуватися вiд їх реалiзацiї. Додатковими сторонами корпоративного договору також можуть бути саме Товариство та третi особи.</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зобов'язанi:</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дотримуватися Статуту, iнших внутрiшнiх до</w:t>
            </w:r>
            <w:r>
              <w:rPr>
                <w:rFonts w:ascii="Times New Roman CYR" w:hAnsi="Times New Roman CYR" w:cs="Times New Roman CYR"/>
              </w:rPr>
              <w:t>кументiв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виконувати рiшення загальних зборiв акцiонерiв, iнших органiв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виконувати свої зобов'язання перед Товариством, у тому числi пов'язанi з майновою участю;</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оплачувати акцiї у розмiрi, в порядку та засобами, що передбаченi</w:t>
            </w:r>
            <w:r>
              <w:rPr>
                <w:rFonts w:ascii="Times New Roman CYR" w:hAnsi="Times New Roman CYR" w:cs="Times New Roman CYR"/>
              </w:rPr>
              <w:t xml:space="preserve"> Статутом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не розголошувати комерцiйну таємницю та конфiденцiйну iнформацiю про дiяльнiсть Товариства.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Акцiонери можуть мати iншi обов'язки, встановленi законами України.</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Вiдсутнi</w:t>
            </w:r>
          </w:p>
        </w:tc>
        <w:tc>
          <w:tcPr>
            <w:tcW w:w="3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13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239/1/11</w:t>
            </w:r>
          </w:p>
        </w:tc>
        <w:tc>
          <w:tcPr>
            <w:tcW w:w="24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16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2 847 328</w:t>
            </w:r>
          </w:p>
        </w:tc>
        <w:tc>
          <w:tcPr>
            <w:tcW w:w="14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711 832</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w:t>
            </w:r>
            <w:r>
              <w:rPr>
                <w:rFonts w:ascii="Times New Roman CYR" w:hAnsi="Times New Roman CYR" w:cs="Times New Roman CYR"/>
              </w:rPr>
              <w:t>ого перiоду Товариство не здiйснювало випускiв акцiй</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850"/>
        <w:gridCol w:w="3850"/>
        <w:gridCol w:w="3850"/>
        <w:gridCol w:w="3850"/>
      </w:tblGrid>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інших не голосуючих акцій, шт.</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38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2774566</w:t>
            </w:r>
          </w:p>
        </w:tc>
        <w:tc>
          <w:tcPr>
            <w:tcW w:w="38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72762</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2000"/>
        <w:gridCol w:w="2000"/>
        <w:gridCol w:w="2000"/>
        <w:gridCol w:w="2000"/>
        <w:gridCol w:w="1700"/>
        <w:gridCol w:w="1700"/>
      </w:tblGrid>
      <w:tr w:rsidR="00000000">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за типами акцій</w:t>
            </w:r>
          </w:p>
        </w:tc>
      </w:tr>
      <w:tr w:rsidR="00000000">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привілейовані іменні</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562 112</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19,741736</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562 112</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462 529</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16,244317</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462 529</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224 495</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224 495</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339 380</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11,919244</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339 380</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Телетков Олександр Васильович</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316 786</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11,125729</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316 786</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1 905 302</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66,915435</w:t>
            </w:r>
          </w:p>
        </w:tc>
        <w:tc>
          <w:tcPr>
            <w:tcW w:w="1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1 905 302</w:t>
            </w:r>
          </w:p>
        </w:tc>
        <w:tc>
          <w:tcPr>
            <w:tcW w:w="17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000"/>
        <w:gridCol w:w="3500"/>
        <w:gridCol w:w="24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цінних</w:t>
            </w:r>
            <w:r>
              <w:rPr>
                <w:rFonts w:ascii="Times New Roman CYR" w:hAnsi="Times New Roman CYR" w:cs="Times New Roman CYR"/>
              </w:rPr>
              <w:t xml:space="preserve">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обмеження</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Вiдповiдно до вимог пункту 10 роздiлу VI Закону України "Про депозитарну систему України",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разi якщо власник цiнних паперiв до 1 липня 2024 року не уклав з депозитарною установою, обраною емiтентом, договi</w:t>
            </w:r>
            <w:r>
              <w:rPr>
                <w:rFonts w:ascii="Times New Roman CYR" w:hAnsi="Times New Roman CYR" w:cs="Times New Roman CYR"/>
              </w:rPr>
              <w:t>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w:t>
            </w:r>
            <w:r>
              <w:rPr>
                <w:rFonts w:ascii="Times New Roman CYR" w:hAnsi="Times New Roman CYR" w:cs="Times New Roman CYR"/>
              </w:rPr>
              <w:t>пери не надають їх власнику жодних прав за цiнними паперами.</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Кiлькiсть акцiй за таким обмеженням 72762 простi iменнi акцiї</w:t>
            </w:r>
          </w:p>
        </w:tc>
        <w:tc>
          <w:tcPr>
            <w:tcW w:w="24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укладення акцiонером Товариства договору з депозитарною установою про обслуговування рахунку в цiнних паперах</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w:t>
            </w:r>
            <w:r>
              <w:rPr>
                <w:rFonts w:ascii="Times New Roman CYR" w:hAnsi="Times New Roman CYR" w:cs="Times New Roman CYR"/>
              </w:rPr>
              <w:t>межено, шт.</w:t>
            </w:r>
          </w:p>
        </w:tc>
        <w:tc>
          <w:tcPr>
            <w:tcW w:w="28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239/1/11</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20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2 847 328</w:t>
            </w:r>
          </w:p>
        </w:tc>
        <w:tc>
          <w:tcPr>
            <w:tcW w:w="21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2 774 566</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III. Фінансова інформація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17.12 - виробництво паперу та картону</w:t>
            </w:r>
          </w:p>
        </w:tc>
        <w:tc>
          <w:tcPr>
            <w:tcW w:w="29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1140334</w:t>
            </w:r>
          </w:p>
        </w:tc>
        <w:tc>
          <w:tcPr>
            <w:tcW w:w="2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17.22 - виробництво паперових виробiв господарсько-побутового та санiтарно-гiгiєнiчногопризначення</w:t>
            </w:r>
          </w:p>
        </w:tc>
        <w:tc>
          <w:tcPr>
            <w:tcW w:w="29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1441766</w:t>
            </w:r>
          </w:p>
        </w:tc>
        <w:tc>
          <w:tcPr>
            <w:tcW w:w="2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46.90 - неспецiалiзована оптова торгiвля</w:t>
            </w:r>
          </w:p>
        </w:tc>
        <w:tc>
          <w:tcPr>
            <w:tcW w:w="29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3870</w:t>
            </w:r>
          </w:p>
        </w:tc>
        <w:tc>
          <w:tcPr>
            <w:tcW w:w="29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https://portal.frs.gov.ua/PublicData/PublicDataSubmissionPack.aspx?submission_pack_version_id=200661</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w:t>
      </w:r>
      <w:r>
        <w:rPr>
          <w:rFonts w:ascii="Times New Roman CYR" w:hAnsi="Times New Roman CYR" w:cs="Times New Roman CYR"/>
          <w:b/>
          <w:bCs/>
          <w:i/>
          <w:iCs/>
          <w:sz w:val="24"/>
          <w:szCs w:val="24"/>
        </w:rPr>
        <w:t>ої звітності</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
        <w:gridCol w:w="5300"/>
        <w:gridCol w:w="4000"/>
      </w:tblGrid>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"Кохавинська паперова фабрика"</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22351935</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обмежен6ою вiдповiдальнiстю "Нексiя ДК Аудит"</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32409677</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w:t>
            </w:r>
            <w:r>
              <w:rPr>
                <w:rFonts w:ascii="Times New Roman CYR" w:hAnsi="Times New Roman CYR" w:cs="Times New Roman CYR"/>
                <w:sz w:val="24"/>
                <w:szCs w:val="24"/>
              </w:rPr>
              <w:t>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3150 вiд 22.10.2018</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аудитора, як</w:t>
            </w:r>
            <w:r>
              <w:rPr>
                <w:rFonts w:ascii="Times New Roman CYR" w:hAnsi="Times New Roman CYR" w:cs="Times New Roman CYR"/>
                <w:sz w:val="24"/>
                <w:szCs w:val="24"/>
              </w:rPr>
              <w:t>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w:t>
            </w:r>
            <w:r>
              <w:rPr>
                <w:rFonts w:ascii="Times New Roman CYR" w:hAnsi="Times New Roman CYR" w:cs="Times New Roman CYR"/>
                <w:sz w:val="24"/>
                <w:szCs w:val="24"/>
              </w:rPr>
              <w:t>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w:t>
            </w:r>
            <w:r>
              <w:rPr>
                <w:rFonts w:ascii="Times New Roman CYR" w:hAnsi="Times New Roman CYR" w:cs="Times New Roman CYR"/>
                <w:sz w:val="24"/>
                <w:szCs w:val="24"/>
              </w:rPr>
              <w:t>спільний інтерес</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01.01.2025 по 31.12.2025</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01 - немодифікована</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1-КПФ, від 18.10.2024</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закінчення аудиту</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07.10.2025 по 06.04.2026</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аудиторського звіту</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31.03.2025</w:t>
            </w:r>
          </w:p>
        </w:tc>
      </w:tr>
      <w:tr w:rsidR="00000000">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виявлені факти аудитором</w:t>
            </w:r>
            <w:r>
              <w:rPr>
                <w:rFonts w:ascii="Times New Roman CYR" w:hAnsi="Times New Roman CYR" w:cs="Times New Roman CYR"/>
                <w:sz w:val="24"/>
                <w:szCs w:val="24"/>
              </w:rPr>
              <w:t xml:space="preserve">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w:t>
            </w:r>
            <w:r>
              <w:rPr>
                <w:rFonts w:ascii="Times New Roman CYR" w:hAnsi="Times New Roman CYR" w:cs="Times New Roman CYR"/>
                <w:sz w:val="24"/>
                <w:szCs w:val="24"/>
              </w:rPr>
              <w:t>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Аудиторський звіт до річної фінансової звітності:</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Аудиторський звiт в складi рiчної фiнансової звiтностi за 2025 рiк на основi таксономiї у форматi XBRL р</w:t>
      </w:r>
      <w:r>
        <w:rPr>
          <w:rFonts w:ascii="Times New Roman CYR" w:hAnsi="Times New Roman CYR" w:cs="Times New Roman CYR"/>
          <w:sz w:val="24"/>
          <w:szCs w:val="24"/>
        </w:rPr>
        <w:t>озмiщено за посиланням: https://portal.frs.gov.ua/PublicData/PublicDataSubmissionPack.aspx?submission_pack_version_id=200661</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та пiдписують рiчну iнформацiю емi</w:t>
      </w:r>
      <w:r>
        <w:rPr>
          <w:rFonts w:ascii="Times New Roman CYR" w:hAnsi="Times New Roman CYR" w:cs="Times New Roman CYR"/>
          <w:sz w:val="24"/>
          <w:szCs w:val="24"/>
        </w:rPr>
        <w:t>тента, така, що, наскiльки це їм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w:t>
      </w:r>
      <w:r>
        <w:rPr>
          <w:rFonts w:ascii="Times New Roman CYR" w:hAnsi="Times New Roman CYR" w:cs="Times New Roman CYR"/>
          <w:sz w:val="24"/>
          <w:szCs w:val="24"/>
        </w:rPr>
        <w:t>'єктивне подання iнформацiї про стан активiв, пасивiв, фiнансовий стан, прибутки та збитки емiтента, звiт керiвництва включає достовiрне та об'єктивне подання iнформацiї про розвиток i здiйснення господарської дiяльностi та стан емiтента разом з описом осн</w:t>
      </w:r>
      <w:r>
        <w:rPr>
          <w:rFonts w:ascii="Times New Roman CYR" w:hAnsi="Times New Roman CYR" w:cs="Times New Roman CYR"/>
          <w:sz w:val="24"/>
          <w:szCs w:val="24"/>
        </w:rPr>
        <w:t>овних ризикiв та невизначеностей, з якими Товариство стикається у своїй господарськiй дiяльностi.</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заінтересованістю</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вебсайту, на якій розміщена інформація</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14.04.2025</w:t>
            </w:r>
          </w:p>
        </w:tc>
        <w:tc>
          <w:tcPr>
            <w:tcW w:w="78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https://www.kpf.ua/wp-content/uploads/2025/04/osoblyva-informacziya.vidomosti-pro-pryjnyattya-rishennya-pro-popere</w:t>
            </w:r>
            <w:r>
              <w:rPr>
                <w:rFonts w:ascii="Times New Roman CYR" w:hAnsi="Times New Roman CYR" w:cs="Times New Roman CYR"/>
              </w:rPr>
              <w:t>dnye-nadannya-zgody-na-vchynennya-znachnyh-pravochyniv-1.pdf</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паперової промисловостi у 2025 роцi визначальними були чотири групи чинникiв: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по-перше, енергетична нестабiльнiсть та висока вартiсть енергiї;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по-друге, iмпортна залежнiсть вiд первинної целюлози та хiмiчних компонентiв;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по-третє, валютний фактор, що впливає на вартiсть iмпортної сировини;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по-четверте, логiстичнi ризики та конкур</w:t>
      </w:r>
      <w:r>
        <w:rPr>
          <w:rFonts w:ascii="Times New Roman CYR" w:hAnsi="Times New Roman CYR" w:cs="Times New Roman CYR"/>
          <w:sz w:val="24"/>
          <w:szCs w:val="24"/>
        </w:rPr>
        <w:t>енцiя з iмпортом. Асоцiацiя "УкрПапiр" прямо називає нестачу власної целюлози, низький рiвень збору макулатури, застарiле обладнання та вплив вiйни ключовими обмеженнями для розвитку галузi.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української паперової промисловостi сировинний фактор у 2025</w:t>
      </w:r>
      <w:r>
        <w:rPr>
          <w:rFonts w:ascii="Times New Roman CYR" w:hAnsi="Times New Roman CYR" w:cs="Times New Roman CYR"/>
          <w:sz w:val="24"/>
          <w:szCs w:val="24"/>
        </w:rPr>
        <w:t xml:space="preserve"> роцi був неоднорiдним. З одного боку, галузь залишається залежною вiд iмпорту первинної целюлози та частини хiмiчних компонентiв, що робить собiвартiсть чутливою до курсу гривнi та логiстики. З iншого боку, на свiтовому ринку у 2025 роцi спостерiгалася м'</w:t>
      </w:r>
      <w:r>
        <w:rPr>
          <w:rFonts w:ascii="Times New Roman CYR" w:hAnsi="Times New Roman CYR" w:cs="Times New Roman CYR"/>
          <w:sz w:val="24"/>
          <w:szCs w:val="24"/>
        </w:rPr>
        <w:t>якiсть цiн на целюлозу: Fastmarkets вiдзначав, що починаючи з другого кварталу 2025 року європейськi виробники працювали в умовах спадних цiн на pulp, а цiни опускалися навiть нижче мiнiмумiв кiнця 2024 року.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українських виробникiв паперу та паперових</w:t>
      </w:r>
      <w:r>
        <w:rPr>
          <w:rFonts w:ascii="Times New Roman CYR" w:hAnsi="Times New Roman CYR" w:cs="Times New Roman CYR"/>
          <w:sz w:val="24"/>
          <w:szCs w:val="24"/>
        </w:rPr>
        <w:t xml:space="preserve"> виробiв 2025 рiк можна охарактеризувати як рiк адаптацiї та операцiйної стiйкостi. Макросередовище було неоднозначним:</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економiка зростала, але повiльно;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iнфляцiя знизилася, але енергiя й надалi залишалась дорогою;</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курс був стабiльнiшим, але торговельни</w:t>
      </w:r>
      <w:r>
        <w:rPr>
          <w:rFonts w:ascii="Times New Roman CYR" w:hAnsi="Times New Roman CYR" w:cs="Times New Roman CYR"/>
          <w:sz w:val="24"/>
          <w:szCs w:val="24"/>
        </w:rPr>
        <w:t>й дефiцит та iмпортозалежнiсть нiкуди не зникли;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вiдновлювалась, але ще не повернулась до довоєнного масштабу.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сегмента санiтарно-гiгiєнiчної продукцiї це, однак, було навiть вiдносно сприятливе середовище порiвняно з багатьма iншими пiдсектор</w:t>
      </w:r>
      <w:r>
        <w:rPr>
          <w:rFonts w:ascii="Times New Roman CYR" w:hAnsi="Times New Roman CYR" w:cs="Times New Roman CYR"/>
          <w:sz w:val="24"/>
          <w:szCs w:val="24"/>
        </w:rPr>
        <w:t>ами переробки. Попит на гiгiєнiчнi товари виявився стiйкiшим, нiж на друкарськi папери, а папiр-основа санiтарно-гiгiєнiчного призначення залишався одним iз сегментiв, де в Українi фiксувалося реальне зростання.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Саме тому для паперових пiдприємств у 2025 </w:t>
      </w:r>
      <w:r>
        <w:rPr>
          <w:rFonts w:ascii="Times New Roman CYR" w:hAnsi="Times New Roman CYR" w:cs="Times New Roman CYR"/>
          <w:sz w:val="24"/>
          <w:szCs w:val="24"/>
        </w:rPr>
        <w:t>роцi ключовими факторами успiху були не стiльки агресивне розширення, скiльки операцiйна ефективнiсть, енергозбереження, валютна дисциплiна, контроль закупiвель сировини та фокус на сегментах зi стабiльним попитом - насамперед у санiтарно-гiгiєнiчнiй проду</w:t>
      </w:r>
      <w:r>
        <w:rPr>
          <w:rFonts w:ascii="Times New Roman CYR" w:hAnsi="Times New Roman CYR" w:cs="Times New Roman CYR"/>
          <w:sz w:val="24"/>
          <w:szCs w:val="24"/>
        </w:rPr>
        <w:t>кцiї та паперi-основi.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Показники основних виробникiв целюлозно-паперової продукцiї України. За наявними даними, у 2025 р. загальний обсяг виробництва туалетного паперу основними виробниками становив 583088 тис. рулонiв, що дещо бiльше порiвняно з 2024 р. </w:t>
      </w:r>
      <w:r>
        <w:rPr>
          <w:rFonts w:ascii="Times New Roman CYR" w:hAnsi="Times New Roman CYR" w:cs="Times New Roman CYR"/>
          <w:sz w:val="24"/>
          <w:szCs w:val="24"/>
        </w:rPr>
        <w:t>(582124 тис. рулонiв). Таким чином, темп зростання виробництва становив 100,2 %, що свiдчить про майже стабiльний рiвень виробництва на ринку.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Ринок паперової основи в Українi є ключовим компонентом виробництва санiтарно-гiгiєнiчних виробiв. До повномасштабного вторгнення вiн демонстрував стабiльне зростання (близько 10 % щорiчно), однак у 2022 роцi вiдбулося рiзке падiння виробництва. Вже у 2023</w:t>
      </w:r>
      <w:r>
        <w:rPr>
          <w:rFonts w:ascii="Times New Roman CYR" w:hAnsi="Times New Roman CYR" w:cs="Times New Roman CYR"/>
          <w:sz w:val="24"/>
          <w:szCs w:val="24"/>
        </w:rPr>
        <w:t>-2024 роках спостерiгається поступове вiдновлення - внутрiшнє виробництво досягло 77 % довоєнного рiвня, а ємнiсть ринку - 82-83 %. Незважаючи на зниження експорту через воєннi умови, активiзацiя експортної дiяльностi, зокрема компанiєю АТ "Кохавинська ПФ"</w:t>
      </w:r>
      <w:r>
        <w:rPr>
          <w:rFonts w:ascii="Times New Roman CYR" w:hAnsi="Times New Roman CYR" w:cs="Times New Roman CYR"/>
          <w:sz w:val="24"/>
          <w:szCs w:val="24"/>
        </w:rPr>
        <w:t xml:space="preserve">, свiдчить про позитивнi перспективи вiдновлення ринку.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целюлознi, так i макулатурнi матерiали демонстрували стабiльне зростання до 2021 року, рiзко скоротилися у 2022 роцi, а згодом почали вiдновлюватися, проте повiльнiшими темпами.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шiсть рокiв</w:t>
      </w:r>
      <w:r>
        <w:rPr>
          <w:rFonts w:ascii="Times New Roman CYR" w:hAnsi="Times New Roman CYR" w:cs="Times New Roman CYR"/>
          <w:sz w:val="24"/>
          <w:szCs w:val="24"/>
        </w:rPr>
        <w:t xml:space="preserve"> основнi виробники та iмпортери залишилися незмiнними, що свiдчить про стiйкiсть ринкової структури i високi бар'єри для входу нових операторiв.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тенденцiя зростання зберiгається - обсяг виробництва збiльшився порiвняно з аналогiчним перiодо</w:t>
      </w:r>
      <w:r>
        <w:rPr>
          <w:rFonts w:ascii="Times New Roman CYR" w:hAnsi="Times New Roman CYR" w:cs="Times New Roman CYR"/>
          <w:sz w:val="24"/>
          <w:szCs w:val="24"/>
        </w:rPr>
        <w:t>м минулого року, що свiдчить про поступове вiдновлення виробничих потужностей i пiдвищення стiйкостi галузi.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чином, ринок демонструє поступове вiдновлення пiсля кризових перiодiв. Проблематикою залишаються виклики, що пов'язанi з високою конкуренцiє</w:t>
      </w:r>
      <w:r>
        <w:rPr>
          <w:rFonts w:ascii="Times New Roman CYR" w:hAnsi="Times New Roman CYR" w:cs="Times New Roman CYR"/>
          <w:sz w:val="24"/>
          <w:szCs w:val="24"/>
        </w:rPr>
        <w:t>ю, логiстичними ризиками та зростанням екологiчних вимог, що вимагає постiйного удосконалення виробничих процесiв i адаптацiї до нових економiчних умов.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продовжує залишатися ключовим гравцем ринку сангiгiєни з диверсифiкованою пропозиц</w:t>
      </w:r>
      <w:r>
        <w:rPr>
          <w:rFonts w:ascii="Times New Roman CYR" w:hAnsi="Times New Roman CYR" w:cs="Times New Roman CYR"/>
          <w:sz w:val="24"/>
          <w:szCs w:val="24"/>
        </w:rPr>
        <w:t>iєю в макулатурному та целюлозному сегментах по бiльшостi видiв продукцiї. У жовтнi 2025 року було введено в експлуатацiю ще одну нову лiнiю по виробництву рушникiв паперових в листах типу VV. А протягом наступних двох рокiв планується ввести в експлуатацi</w:t>
      </w:r>
      <w:r>
        <w:rPr>
          <w:rFonts w:ascii="Times New Roman CYR" w:hAnsi="Times New Roman CYR" w:cs="Times New Roman CYR"/>
          <w:sz w:val="24"/>
          <w:szCs w:val="24"/>
        </w:rPr>
        <w:t>ю паперову машину №4, що дозволить виробляти до 90 тисяч тонн основи в рiк (целюлозної до 50 тис. тонн та 40+ тис. тонн з макулатури). Проект буде пiдсилений новим твердопаливним котлом потужнiстю 16 МВт теплової енергiї у виглядi насиченої пари, що дозвол</w:t>
      </w:r>
      <w:r>
        <w:rPr>
          <w:rFonts w:ascii="Times New Roman CYR" w:hAnsi="Times New Roman CYR" w:cs="Times New Roman CYR"/>
          <w:sz w:val="24"/>
          <w:szCs w:val="24"/>
        </w:rPr>
        <w:t>ить замiстити бiльше 8 млн. кубометрiв природнього газу в рiк.</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w:t>
      </w:r>
      <w:r>
        <w:rPr>
          <w:rFonts w:ascii="Times New Roman CYR" w:hAnsi="Times New Roman CYR" w:cs="Times New Roman CYR"/>
          <w:sz w:val="24"/>
          <w:szCs w:val="24"/>
        </w:rPr>
        <w:t>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укладало деривативних контрактiв та не вчиняло пра</w:t>
      </w:r>
      <w:r>
        <w:rPr>
          <w:rFonts w:ascii="Times New Roman CYR" w:hAnsi="Times New Roman CYR" w:cs="Times New Roman CYR"/>
          <w:sz w:val="24"/>
          <w:szCs w:val="24"/>
        </w:rPr>
        <w:t>вочинiв щодо деривативних цiнних паперiв.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w:t>
      </w:r>
      <w:r>
        <w:rPr>
          <w:rFonts w:ascii="Times New Roman CYR" w:hAnsi="Times New Roman CYR" w:cs="Times New Roman CYR"/>
          <w:sz w:val="24"/>
          <w:szCs w:val="24"/>
        </w:rPr>
        <w:t>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w:t>
      </w:r>
      <w:r>
        <w:rPr>
          <w:rFonts w:ascii="Times New Roman CYR" w:hAnsi="Times New Roman CYR" w:cs="Times New Roman CYR"/>
          <w:sz w:val="24"/>
          <w:szCs w:val="24"/>
        </w:rPr>
        <w:t>вних контрактiв та не вчиняло правочинiв щодо деревативних цiнних паперiв, якi впливають на оцiнку активiв, зобов'язань, фiнансового стану i доходiв або витрат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w:t>
      </w:r>
      <w:r>
        <w:rPr>
          <w:rFonts w:ascii="Times New Roman CYR" w:hAnsi="Times New Roman CYR" w:cs="Times New Roman CYR"/>
          <w:sz w:val="24"/>
          <w:szCs w:val="24"/>
        </w:rPr>
        <w:t>о ризику грошових потоків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деривативних контрактiв та не вчиняло правочинiв щодо дериват</w:t>
      </w:r>
      <w:r>
        <w:rPr>
          <w:rFonts w:ascii="Times New Roman CYR" w:hAnsi="Times New Roman CYR" w:cs="Times New Roman CYR"/>
          <w:sz w:val="24"/>
          <w:szCs w:val="24"/>
        </w:rPr>
        <w:t>ивних цiнних паперiв, якi впливають на оцiнку активiв, зобов'язань, фiнансового стану i доходiв або витрат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1) звіт про корпоративне управління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кодекс корпоративного управління, яким керується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6000"/>
      </w:tblGrid>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6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w:t>
            </w:r>
            <w:r>
              <w:rPr>
                <w:rFonts w:ascii="Times New Roman CYR" w:hAnsi="Times New Roman CYR" w:cs="Times New Roman CYR"/>
                <w:sz w:val="24"/>
                <w:szCs w:val="24"/>
              </w:rPr>
              <w:t>рийнято рішення про застосування іншого кодексу</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Назва органу управління, яким прийнято рішення про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в своїй дiяльностi не керується власним кодек-сом корпоративного управлiння, рiшення про добровiльне зас</w:t>
            </w:r>
            <w:r>
              <w:rPr>
                <w:rFonts w:ascii="Times New Roman CYR" w:hAnsi="Times New Roman CYR" w:cs="Times New Roman CYR"/>
                <w:sz w:val="24"/>
                <w:szCs w:val="24"/>
              </w:rPr>
              <w:t>тосування iнших кодексiв не приймалося.  Практика корпоративного управлiння, що застосовується понад визначенi законодавством вимоги не застосовувалась. Вiдхилень вiд положень кодексу корпоративного управлiння не вiдбувалося, оскiльки Товариство не має вла</w:t>
            </w:r>
            <w:r>
              <w:rPr>
                <w:rFonts w:ascii="Times New Roman CYR" w:hAnsi="Times New Roman CYR" w:cs="Times New Roman CYR"/>
                <w:sz w:val="24"/>
                <w:szCs w:val="24"/>
              </w:rPr>
              <w:t>сного кодексу корпоративного управлiння та не користується кодексами корпоративного управлiння iнших пiдприємств, установ, органiзацiй.</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прийняття рішення щодо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з текстом кодексу</w:t>
            </w:r>
          </w:p>
        </w:tc>
        <w:tc>
          <w:tcPr>
            <w:tcW w:w="60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1500"/>
        <w:gridCol w:w="4500"/>
      </w:tblGrid>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Опис наявної практики/обґрунтування відхилення</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Цілі особи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з п.3.1 Статуту, Товариство створене з метою одержання прибутку в iнтересах акцiонерiв та членiв труд</w:t>
            </w:r>
            <w:r>
              <w:rPr>
                <w:rFonts w:ascii="Times New Roman CYR" w:hAnsi="Times New Roman CYR" w:cs="Times New Roman CYR"/>
                <w:sz w:val="24"/>
                <w:szCs w:val="24"/>
              </w:rPr>
              <w:t xml:space="preserve">ового колективу Товариства, задоволення суспiльних потреб у роботах, послугах, забезпечення зайнятостi населення шляхом здiйснення пiдприємницької дiяльностi в сферах, якi є предметом дiяльностi Товариства. </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Акціонери та стейкхолдери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з ст. 27 Закону України "Про акцiонернi товариства" та вiдповiдно до пункту 4.2.1 Статуту Товариства кожною простою акцiєю акцiонерного товариства її власнику - акцiонеру надається однакова сукупнiсть прав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Розкриття iнформацiї про права акцiонерiв/учасникiв та їх реалiзацiя, здiйснюються через власний веб-сайт Товариства, базу даних НКЦПФР та спецiальнi звiти. Чинним законодавством та внутрiшнiми документами Товариства передбачено можливiсть проведення диста</w:t>
            </w:r>
            <w:r>
              <w:rPr>
                <w:rFonts w:ascii="Times New Roman CYR" w:hAnsi="Times New Roman CYR" w:cs="Times New Roman CYR"/>
                <w:sz w:val="24"/>
                <w:szCs w:val="24"/>
              </w:rPr>
              <w:t>нцiйних зборiв акцiонерiв з викоритстанням заочного опитування, вiльний доступ до документiв, в тому числi i не фiнансових (протоколiв, звiтiв тощо), що пiдвищує прозорiсть.</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з ст. 27 Закону України "Про акцiонернi</w:t>
            </w:r>
            <w:r>
              <w:rPr>
                <w:rFonts w:ascii="Times New Roman CYR" w:hAnsi="Times New Roman CYR" w:cs="Times New Roman CYR"/>
                <w:sz w:val="24"/>
                <w:szCs w:val="24"/>
              </w:rPr>
              <w:t xml:space="preserve"> товариства" та вiдповiдно до пункту 4.2.1 Статуту Товариства кожною простою акцiєю акцiонерного товариства її власнику - акцiонеру надається однакова сукупнiсть прав</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загальні збори акціонерів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w:t>
            </w:r>
            <w:r>
              <w:rPr>
                <w:rFonts w:ascii="Times New Roman CYR" w:hAnsi="Times New Roman CYR" w:cs="Times New Roman CYR"/>
                <w:sz w:val="24"/>
                <w:szCs w:val="24"/>
              </w:rPr>
              <w:t>ення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акцiонерiв є вищим органом Товариства. Станом на 31.12.2025 акцiонерами Товариства є 169 осiб. Повноваження вищого органу управлiння визначенi чинним законодавством та внутрiшнiми положеннями Товариства. У Товариствi регулярно склик</w:t>
            </w:r>
            <w:r>
              <w:rPr>
                <w:rFonts w:ascii="Times New Roman CYR" w:hAnsi="Times New Roman CYR" w:cs="Times New Roman CYR"/>
                <w:sz w:val="24"/>
                <w:szCs w:val="24"/>
              </w:rPr>
              <w:t xml:space="preserve">аються та проводяться загальнi збори акцiонерiв, якi приймають необхiднi рiшення для подальшої безперервної дiяльностi Товариства.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Вiдповiдно до чинного законодавства та п.9.4.1 Статуту Товариства вiд дати надсилання повiдомлення про проведення загальних</w:t>
            </w:r>
            <w:r>
              <w:rPr>
                <w:rFonts w:ascii="Times New Roman CYR" w:hAnsi="Times New Roman CYR" w:cs="Times New Roman CYR"/>
                <w:sz w:val="24"/>
                <w:szCs w:val="24"/>
              </w:rPr>
              <w:t xml:space="preserve"> зборiв до дати проведення загальних зборiв акцiонерне товариство або акцiонери, якi скликають загальнi збори, повиннi надати акцiонерам можливiсть ознайомитися з документами, необхiдними для прийняття рiшень з питань, включених до проекту порядку денного </w:t>
            </w:r>
            <w:r>
              <w:rPr>
                <w:rFonts w:ascii="Times New Roman CYR" w:hAnsi="Times New Roman CYR" w:cs="Times New Roman CYR"/>
                <w:sz w:val="24"/>
                <w:szCs w:val="24"/>
              </w:rPr>
              <w:t>та порядку денного, а у передбачених чиним законодавством випадках, також, - з проєктом договору про викуп Товариством акцiй</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Повiдомлення про проведення загальних зборiв мiстить iнформацiю виключн</w:t>
            </w:r>
            <w:r>
              <w:rPr>
                <w:rFonts w:ascii="Times New Roman CYR" w:hAnsi="Times New Roman CYR" w:cs="Times New Roman CYR"/>
                <w:sz w:val="24"/>
                <w:szCs w:val="24"/>
              </w:rPr>
              <w:t>о яка вимагається Законом України "Про акцiонернi Товариства". Iнформацiя про кандидатiв до складу органiв управлiння мiститься у бюлетенi для кумулятивного голосування, який затверджується не пiзнiше нiж за чотири днi до дати проведення загальних зборiв.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випадку проведення дистанцiйних загальни</w:t>
            </w:r>
            <w:r>
              <w:rPr>
                <w:rFonts w:ascii="Times New Roman CYR" w:hAnsi="Times New Roman CYR" w:cs="Times New Roman CYR"/>
                <w:sz w:val="24"/>
                <w:szCs w:val="24"/>
              </w:rPr>
              <w:t>х зборiв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випадку проведення загальних зборiв акцiонерiв у формi очного голосування к</w:t>
            </w:r>
            <w:r>
              <w:rPr>
                <w:rFonts w:ascii="Times New Roman CYR" w:hAnsi="Times New Roman CYR" w:cs="Times New Roman CYR"/>
                <w:sz w:val="24"/>
                <w:szCs w:val="24"/>
              </w:rPr>
              <w:t>ерiвник, фiнансовий директор, бiльшiсть членiв ради (бiльшiсть невиконавчих директорiв ради директорiв) i зовнiшнiй аудитор можуть брати участь у рiчних загальних зборах за запрошенням Ради директорiв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випадку проведення загальних зборiв акцiонерiв у формi очного голосування особи, якi ма</w:t>
            </w:r>
            <w:r>
              <w:rPr>
                <w:rFonts w:ascii="Times New Roman CYR" w:hAnsi="Times New Roman CYR" w:cs="Times New Roman CYR"/>
                <w:sz w:val="24"/>
                <w:szCs w:val="24"/>
              </w:rPr>
              <w:t xml:space="preserve">ють можливiсть брати участь у загальних зборах, мають можливiсть ставити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уснi запитання стосовно питань порядку денного i отримувати вiдповiдi на них</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 </w:t>
            </w:r>
            <w:r>
              <w:rPr>
                <w:rFonts w:ascii="Times New Roman CYR" w:hAnsi="Times New Roman CYR" w:cs="Times New Roman CYR"/>
                <w:sz w:val="24"/>
                <w:szCs w:val="24"/>
              </w:rPr>
              <w:t>вiдповiдностi до п. 9.2.2.17 Статуту Товариства, прийняття рiшень з питань порядку проведення  загальних зборiв, затвердження регламенту загальних зборiв акцiонерiв вiдноситься до виключної компетенцiї загльних зборiв акцiонерiв. У випадку скликання загаль</w:t>
            </w:r>
            <w:r>
              <w:rPr>
                <w:rFonts w:ascii="Times New Roman CYR" w:hAnsi="Times New Roman CYR" w:cs="Times New Roman CYR"/>
                <w:sz w:val="24"/>
                <w:szCs w:val="24"/>
              </w:rPr>
              <w:t>них зборiв акцiонерiв шляхом очного голосування, питання про затвердження регламенту включається до порядку денного зборiв.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 та рішення загальних зборів (включаючи кількість голосів, поданих "за" та "проти" кожного рішення), а також відповіді на к</w:t>
            </w:r>
            <w:r>
              <w:rPr>
                <w:rFonts w:ascii="Times New Roman CYR" w:hAnsi="Times New Roman CYR" w:cs="Times New Roman CYR"/>
                <w:sz w:val="24"/>
                <w:szCs w:val="24"/>
              </w:rPr>
              <w:t>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вiдповiдностi до ст. 57 Закону України "Про акцiонернi товариства" та п. 9.13.4 Статуту Товариства протокол загальних зборiв розмiщується на власному вебсайтi протягом 5 робочих днiв з дня його складення, але не пiзнiше 10 днiв з дати проведення (закритт</w:t>
            </w:r>
            <w:r>
              <w:rPr>
                <w:rFonts w:ascii="Times New Roman CYR" w:hAnsi="Times New Roman CYR" w:cs="Times New Roman CYR"/>
                <w:sz w:val="24"/>
                <w:szCs w:val="24"/>
              </w:rPr>
              <w:t>я) загальних зборiв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w:t>
            </w:r>
            <w:r>
              <w:rPr>
                <w:rFonts w:ascii="Times New Roman CYR" w:hAnsi="Times New Roman CYR" w:cs="Times New Roman CYR"/>
                <w:b/>
                <w:bCs/>
                <w:sz w:val="24"/>
                <w:szCs w:val="24"/>
              </w:rPr>
              <w:t xml:space="preserve"> взаємодія з акціонерами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директорiв не затверджувала та не розкривала полiтику взаємодiї з акцiонерами.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Наявнiсть полiтики взаємодiї з акцiонерами не є обов'язковою вимогою законодавства України. Така взаємодiя здiйснюється вiдповiдно до положень законодавства та Статуту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Вз</w:t>
            </w:r>
            <w:r>
              <w:rPr>
                <w:rFonts w:ascii="Times New Roman CYR" w:hAnsi="Times New Roman CYR" w:cs="Times New Roman CYR"/>
                <w:sz w:val="24"/>
                <w:szCs w:val="24"/>
              </w:rPr>
              <w:t>аємодiю з акцiонерами забезпечують безпосередньо Голова наглядової ради, Голова правлiння та за їхнiм дорученням вiдповiднi служби Товариства в тому числi корпоративний секретар. Пiсля переходу на однорiвневу структуру управлiння - Голова ради директорiв т</w:t>
            </w:r>
            <w:r>
              <w:rPr>
                <w:rFonts w:ascii="Times New Roman CYR" w:hAnsi="Times New Roman CYR" w:cs="Times New Roman CYR"/>
                <w:sz w:val="24"/>
                <w:szCs w:val="24"/>
              </w:rPr>
              <w:t>а Головний виконавчий директор i за їхнiм дорученням вiдповiднi служби Товариства в тому числi корпоративний секретар.</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поглинання</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Радою визначено принципи, як вона діятиме у разі пропозиції щодо поглинання, зокрема: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 не вчиняти дії щодо протидії поглинанню без відповідного рішення загальних зборів;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 надавати акціонерам збалансований аналіз недоліків і переваг будь-якої пропозиції щодо поглинання;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загальні збори приймають остаточне рішення про схвалення або відх</w:t>
            </w:r>
            <w:r>
              <w:rPr>
                <w:rFonts w:ascii="Times New Roman CYR" w:hAnsi="Times New Roman CYR" w:cs="Times New Roman CYR"/>
                <w:sz w:val="24"/>
                <w:szCs w:val="24"/>
              </w:rPr>
              <w:t>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Емiтент є приватним акцiонер-ним товариством, рiшення про схвалення або вiдхилення пропозицiй щодо поглинання у будь-якому разi залишається за акцiонерами, Наглядова рада чи Рада директорiв не має можливостi протидiяти </w:t>
            </w:r>
            <w:r>
              <w:rPr>
                <w:rFonts w:ascii="Times New Roman CYR" w:hAnsi="Times New Roman CYR" w:cs="Times New Roman CYR"/>
                <w:sz w:val="24"/>
                <w:szCs w:val="24"/>
              </w:rPr>
              <w:t>поглинанню всупереч волi акцiонерiв.</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інші стейкхолдери </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Рада директорiв не затверджувала та не розкривала окремого внутрiшнього документа такого як полiтика взаємодiї зi стейкхолдерами, яка визначає параметри взаємовiдносин мiж особою та її стейкхолдерами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Наявнiсть полiтики взаємодiї зi стейкхолдерами не є обо</w:t>
            </w:r>
            <w:r>
              <w:rPr>
                <w:rFonts w:ascii="Times New Roman CYR" w:hAnsi="Times New Roman CYR" w:cs="Times New Roman CYR"/>
                <w:sz w:val="24"/>
                <w:szCs w:val="24"/>
              </w:rPr>
              <w:t>в'язковою вимогою законодавства України.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Перелiк своїх стейкхолдерiв, зокрема i тих, з якими необхiдно налагодити безпосередню взаємодiю, </w:t>
            </w:r>
            <w:r>
              <w:rPr>
                <w:rFonts w:ascii="Times New Roman CYR" w:hAnsi="Times New Roman CYR" w:cs="Times New Roman CYR"/>
                <w:sz w:val="24"/>
                <w:szCs w:val="24"/>
              </w:rPr>
              <w:t>Товариством не визначено. Емiтент дотримується всiх вимог законодавства, спрямованих на захист стейкхолдерiв.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щодо аспектiв взаємодiї зi стейкхолдерами Товариством не складається. Емiт</w:t>
            </w:r>
            <w:r>
              <w:rPr>
                <w:rFonts w:ascii="Times New Roman CYR" w:hAnsi="Times New Roman CYR" w:cs="Times New Roman CYR"/>
                <w:sz w:val="24"/>
                <w:szCs w:val="24"/>
              </w:rPr>
              <w:t>ент дотримується всiх вимог законодавства, спрямованих на захист стейкхолдерiв.</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Наглядова рада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зв'язку з переходом на однорiвневу структуру управлiння, повноваження Наглядової ради та її членiв рiшенням загальних зборiв акцiонерiв  (Протокол №35 14.04.2025) було припинено</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Окремо облiк вiдвiдування засiдань Наглядової ради не вiвся. Iнформацiя про присутнiсть членiв Наглядовї ради на засiданнях ради зазначалася у протоколах таких засiдань</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 особи та/або її внутрішні документи визначають і пояснюють обов'язок членів наг</w:t>
            </w:r>
            <w:r>
              <w:rPr>
                <w:rFonts w:ascii="Times New Roman CYR" w:hAnsi="Times New Roman CYR" w:cs="Times New Roman CYR"/>
                <w:sz w:val="24"/>
                <w:szCs w:val="24"/>
              </w:rPr>
              <w:t>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 особи та/або її внутрішні документи визначають, що наглядова рада не має права втручатися у поточне управління особою, у тому числі у п</w:t>
            </w:r>
            <w:r>
              <w:rPr>
                <w:rFonts w:ascii="Times New Roman CYR" w:hAnsi="Times New Roman CYR" w:cs="Times New Roman CYR"/>
                <w:sz w:val="24"/>
                <w:szCs w:val="24"/>
              </w:rPr>
              <w:t>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має право вiдмiнити рiшення або розпорядження (наказ), прийнятi Правлiнням чи Головою Правлiння, якщ</w:t>
            </w:r>
            <w:r>
              <w:rPr>
                <w:rFonts w:ascii="Times New Roman CYR" w:hAnsi="Times New Roman CYR" w:cs="Times New Roman CYR"/>
                <w:sz w:val="24"/>
                <w:szCs w:val="24"/>
              </w:rPr>
              <w:t>о таке рiшення або розпорядження прийнято з порушенням норм чинного законодавства України чи цього Статуту, може заподiяти шкоду Товариства або суперечить метi дiяльностi Товариства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і навички членів наглядової ради відповідають потребам особи, її р</w:t>
            </w:r>
            <w:r>
              <w:rPr>
                <w:rFonts w:ascii="Times New Roman CYR" w:hAnsi="Times New Roman CYR" w:cs="Times New Roman CYR"/>
                <w:sz w:val="24"/>
                <w:szCs w:val="24"/>
              </w:rPr>
              <w:t>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Усi члени Наглядової ради мають багаторiчний досвiд роботи у складi посадових осiб 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Наглядовою радою визначені і регулярно переглядаються кв</w:t>
            </w:r>
            <w:r>
              <w:rPr>
                <w:rFonts w:ascii="Times New Roman CYR" w:hAnsi="Times New Roman CYR" w:cs="Times New Roman CYR"/>
                <w:sz w:val="24"/>
                <w:szCs w:val="24"/>
              </w:rPr>
              <w:t>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Усi члени Наглядової ради мають багаторiчний досвiд роботи у складi посадових осiб 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Відбір та призначення членів наглядової рад</w:t>
            </w:r>
            <w:r>
              <w:rPr>
                <w:rFonts w:ascii="Times New Roman CYR" w:hAnsi="Times New Roman CYR" w:cs="Times New Roman CYR"/>
                <w:sz w:val="24"/>
                <w:szCs w:val="24"/>
              </w:rPr>
              <w:t>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Усi члени Наглядової ради мають багаторiчний досвiд роботи у складi посадових осiб </w:t>
            </w:r>
            <w:r>
              <w:rPr>
                <w:rFonts w:ascii="Times New Roman CYR" w:hAnsi="Times New Roman CYR" w:cs="Times New Roman CYR"/>
                <w:sz w:val="24"/>
                <w:szCs w:val="24"/>
              </w:rPr>
              <w:t>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w:t>
            </w:r>
            <w:r>
              <w:rPr>
                <w:rFonts w:ascii="Times New Roman CYR" w:hAnsi="Times New Roman CYR" w:cs="Times New Roman CYR"/>
                <w:sz w:val="24"/>
                <w:szCs w:val="24"/>
              </w:rPr>
              <w:t>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Усi члени Наглядової ради мають багаторiчний досвiд роботи у складi посадових осiб 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Процедура відбору передбачає можливість залучення зовнішніх радників та/або</w:t>
            </w:r>
            <w:r>
              <w:rPr>
                <w:rFonts w:ascii="Times New Roman CYR" w:hAnsi="Times New Roman CYR" w:cs="Times New Roman CYR"/>
                <w:sz w:val="24"/>
                <w:szCs w:val="24"/>
              </w:rPr>
              <w:t xml:space="preserve">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Усi члени Наглядової ради мають багаторiчний досвiд роботи у складi посадових осiб 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розробляє плани наступництва для членів наглядової ради та в</w:t>
            </w:r>
            <w:r>
              <w:rPr>
                <w:rFonts w:ascii="Times New Roman CYR" w:hAnsi="Times New Roman CYR" w:cs="Times New Roman CYR"/>
                <w:sz w:val="24"/>
                <w:szCs w:val="24"/>
              </w:rPr>
              <w:t>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Усi члени Наглядової ради мають багаторiчний досвiд роботи у складi посадових осiб Товариства. Склад Наглядової ради незмiнний починаючи з 2012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Вiдповiдне рiшення Наглядовою радою не приймалось.</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Членами Наглядової ради були акцiонери Товариства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проходять вступний тренінг після їх обрання, який серед іншого покриває:</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 обов'язки, функції</w:t>
            </w:r>
            <w:r>
              <w:rPr>
                <w:rFonts w:ascii="Times New Roman CYR" w:hAnsi="Times New Roman CYR" w:cs="Times New Roman CYR"/>
                <w:sz w:val="24"/>
                <w:szCs w:val="24"/>
              </w:rPr>
              <w:t xml:space="preserve"> і сфери відповідальності членів наглядової ради;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 незалежність, включаючи незалежність мислення;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порядок роботи наглядової ради;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 питання відповідальності;</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ґ) питання стратегії особи;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 політики особи, включаючи питання етики, конфлікту інтересів </w:t>
            </w:r>
            <w:r>
              <w:rPr>
                <w:rFonts w:ascii="Times New Roman CYR" w:hAnsi="Times New Roman CYR" w:cs="Times New Roman CYR"/>
                <w:sz w:val="24"/>
                <w:szCs w:val="24"/>
              </w:rPr>
              <w:t>та запобігання корупції;</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е) питання звітності та систем контролю, включаючи внутрішній та зовнішній аудит;</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Головою Наглядової ради до 14.04.2025 був акцiонер Товариства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комітети наглядової ради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Виконання функцiй аудиторського комiтету Тов</w:t>
            </w:r>
            <w:r>
              <w:rPr>
                <w:rFonts w:ascii="Times New Roman CYR" w:hAnsi="Times New Roman CYR" w:cs="Times New Roman CYR"/>
                <w:sz w:val="24"/>
                <w:szCs w:val="24"/>
              </w:rPr>
              <w:t xml:space="preserve">ариства вiднесенi до компетенцiї Наглядової ради. Iншi комiтети не створювалися. </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Виконання функцiй аудиторського комiтету Товариства вiднесенi до компетенцiї Наглядово</w:t>
            </w:r>
            <w:r>
              <w:rPr>
                <w:rFonts w:ascii="Times New Roman CYR" w:hAnsi="Times New Roman CYR" w:cs="Times New Roman CYR"/>
                <w:sz w:val="24"/>
                <w:szCs w:val="24"/>
              </w:rPr>
              <w:t xml:space="preserve">ї ради. Iншi комiтети не створювалися. </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 з призначень не було створено.</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 з питань винагороди не бул</w:t>
            </w:r>
            <w:r>
              <w:rPr>
                <w:rFonts w:ascii="Times New Roman CYR" w:hAnsi="Times New Roman CYR" w:cs="Times New Roman CYR"/>
                <w:sz w:val="24"/>
                <w:szCs w:val="24"/>
              </w:rPr>
              <w:t>о створено.</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 з питань ризикiв не було створено.</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Виконавчий орган</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Вiдповiдне рiшення Наглядовою радою не приймалось.</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Виконавчий орган регулярно звітує Наглядовій раді про прогрес у впровадженні </w:t>
            </w:r>
            <w:r>
              <w:rPr>
                <w:rFonts w:ascii="Times New Roman CYR" w:hAnsi="Times New Roman CYR" w:cs="Times New Roman CYR"/>
                <w:sz w:val="24"/>
                <w:szCs w:val="24"/>
              </w:rPr>
              <w:t xml:space="preserve">стратегії особи </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перiод дворiвневої структури управлiння (до 14.04.2025)</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перiод дворiвневої структури управлiння (</w:t>
            </w:r>
            <w:r>
              <w:rPr>
                <w:rFonts w:ascii="Times New Roman CYR" w:hAnsi="Times New Roman CYR" w:cs="Times New Roman CYR"/>
                <w:sz w:val="24"/>
                <w:szCs w:val="24"/>
              </w:rPr>
              <w:t>до 14.04.2025)</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Рада директорів</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Звіт ради директорів містить оцінку її діяльності, інформацію про внутрішню структуру, процедури, що застосовуються при прийнятті радою директорів рішень, </w:t>
            </w:r>
            <w:r>
              <w:rPr>
                <w:rFonts w:ascii="Times New Roman CYR" w:hAnsi="Times New Roman CYR" w:cs="Times New Roman CYR"/>
                <w:sz w:val="24"/>
                <w:szCs w:val="24"/>
              </w:rPr>
              <w:t>у тому числі інформацію про вплив діяльності ради директорів на фінансово-господарську діяльність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директорiв складає звiт з урахуванням вимог дiючого законодавства, який затверджується акцiонерами на рiчних загальних зборах Товариства та приймається рiшення за результатами його розгляду.</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складу ради директорів входять невиконавчі директори, бі</w:t>
            </w:r>
            <w:r>
              <w:rPr>
                <w:rFonts w:ascii="Times New Roman CYR" w:hAnsi="Times New Roman CYR" w:cs="Times New Roman CYR"/>
                <w:sz w:val="24"/>
                <w:szCs w:val="24"/>
              </w:rPr>
              <w:t>льшість із яких становлять незалежні директори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Станом на 31.12.2025 року до складу Ради директорiв входить 3 виконавчi директори та 4 невиконавчi директори, якi не є незалежними директорами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Представники однієї зі статей становлять не менше 40 % від скл</w:t>
            </w:r>
            <w:r>
              <w:rPr>
                <w:rFonts w:ascii="Times New Roman CYR" w:hAnsi="Times New Roman CYR" w:cs="Times New Roman CYR"/>
                <w:sz w:val="24"/>
                <w:szCs w:val="24"/>
              </w:rPr>
              <w:t>аду ради директорів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Так, представники однiєї зi статей становлять не менше 40 % вiд складу ради дире-кторiв Товариства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Посада керівника (головного виконавчого директора) особи та голови ради директорів відокремлені</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звiтному перiодi Голова Ради директорiв є виконавчим директором.</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Керiвник - Головний виконавчий директор є iншим виконавчим директором.</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Права та обов'язки виконавчих директорів та невиконавчих директорів, а також невиконавчих директорів між собою чіт</w:t>
            </w:r>
            <w:r>
              <w:rPr>
                <w:rFonts w:ascii="Times New Roman CYR" w:hAnsi="Times New Roman CYR" w:cs="Times New Roman CYR"/>
                <w:sz w:val="24"/>
                <w:szCs w:val="24"/>
              </w:rPr>
              <w:t>ко розподілені згідно з внутрішніми документами особами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Права та обов'язки членiв Ради директорiв (виконавчих та невиконавчих директорiв, а також невиконавчих директорiв мiж собою) чiтко розподiленi згiдно з Статутом та Положенням про Раду директорiв Т</w:t>
            </w:r>
            <w:r>
              <w:rPr>
                <w:rFonts w:ascii="Times New Roman CYR" w:hAnsi="Times New Roman CYR" w:cs="Times New Roman CYR"/>
                <w:sz w:val="24"/>
                <w:szCs w:val="24"/>
              </w:rPr>
              <w:t>овариства, а також визначенi у трудових та цивiльно-правових договорах.</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директорів утворила комітети з питань призначень, винагороди, аудиту, компетенція та порядок діяльності яких визначаються внутрішніми положеннями та більшість у яких становлять н</w:t>
            </w:r>
            <w:r>
              <w:rPr>
                <w:rFonts w:ascii="Times New Roman CYR" w:hAnsi="Times New Roman CYR" w:cs="Times New Roman CYR"/>
                <w:sz w:val="24"/>
                <w:szCs w:val="24"/>
              </w:rPr>
              <w:t>евиконавчі директори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Законодавством України та Статутом Товариства не передбачено обов'язкового створення в Товариствi комiтетiв ради директорiв. </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Більшість у складі комітетів з питань призначень, винагороди, аудиту становлять незалежні невико</w:t>
            </w:r>
            <w:r>
              <w:rPr>
                <w:rFonts w:ascii="Times New Roman CYR" w:hAnsi="Times New Roman CYR" w:cs="Times New Roman CYR"/>
                <w:sz w:val="24"/>
                <w:szCs w:val="24"/>
              </w:rPr>
              <w:t>навчі директори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Законодавством України та Статутом Товариства не передбачено обов'язкового створення в Товариствi комiтетiв ради директорiв. </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Винагорода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Розкриття інформації і прозорість</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затверджена та оприлюднена політика щодо розкриття інформаці</w:t>
            </w:r>
            <w:r>
              <w:rPr>
                <w:rFonts w:ascii="Times New Roman CYR" w:hAnsi="Times New Roman CYR" w:cs="Times New Roman CYR"/>
                <w:sz w:val="24"/>
                <w:szCs w:val="24"/>
              </w:rPr>
              <w:t>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Розкриття iнформацiї здiйснюється на пiдставi Статуту та вiдповiдно до чинного законодавства. Товариством не розроблено окремої полiтики щодо розкриття iнформацiї. Iнформацiя оприлюднюється Това</w:t>
            </w:r>
            <w:r>
              <w:rPr>
                <w:rFonts w:ascii="Times New Roman CYR" w:hAnsi="Times New Roman CYR" w:cs="Times New Roman CYR"/>
                <w:sz w:val="24"/>
                <w:szCs w:val="24"/>
              </w:rPr>
              <w:t>риством на своєму вебсайтi вiдповiдно до чинного законодавства на дату розкриття такої iнформацiї.</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w:t>
            </w:r>
            <w:r>
              <w:rPr>
                <w:rFonts w:ascii="Times New Roman CYR" w:hAnsi="Times New Roman CYR" w:cs="Times New Roman CYR"/>
                <w:sz w:val="24"/>
                <w:szCs w:val="24"/>
              </w:rPr>
              <w:t>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Складення фiнансових звiтiв та ведення бухгалтерського облiку здiйснюється вiдповiдно до вимог чинного законодавства України.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 особи містить окремий розділ, присвячений виключно питанням корпоративного управ</w:t>
            </w:r>
            <w:r>
              <w:rPr>
                <w:rFonts w:ascii="Times New Roman CYR" w:hAnsi="Times New Roman CYR" w:cs="Times New Roman CYR"/>
                <w:sz w:val="24"/>
                <w:szCs w:val="24"/>
              </w:rPr>
              <w:t>ління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Система контролю і стандарти етики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забезпечує належнi управлiння, звiтнiсть та процедури внутрiшнього контролю, якi дозволяють, зокрема, своєчасно виявляти змiни, що можуть становити загрозу для довгострокового виконання зобов'язань, що випливають з договорiв . Суттєвими чинникам</w:t>
            </w:r>
            <w:r>
              <w:rPr>
                <w:rFonts w:ascii="Times New Roman CYR" w:hAnsi="Times New Roman CYR" w:cs="Times New Roman CYR"/>
                <w:sz w:val="24"/>
                <w:szCs w:val="24"/>
              </w:rPr>
              <w:t>и ефективного управлiння ризиками є високий професiйний рiвень керiвництва i вiдповiдна комплектацiя персоналом. Керiвництво Товариства несе вiдповiдальнiсть за впровадження, надiйнiсть i забезпечення функцiонування систем управлiння ризиками. В процесi уп</w:t>
            </w:r>
            <w:r>
              <w:rPr>
                <w:rFonts w:ascii="Times New Roman CYR" w:hAnsi="Times New Roman CYR" w:cs="Times New Roman CYR"/>
                <w:sz w:val="24"/>
                <w:szCs w:val="24"/>
              </w:rPr>
              <w:t xml:space="preserve">равлiння ризиками задiянi Наглядова Рада, Правлiння. Правлiння є вiдповiдальним за функцiонування системи внутрiшнього контролю та управлiння ризиками. Наглядова рада систематично вiдстежує стан управлiння ризиками, впливає на обрану Правлiнням схильнiсть </w:t>
            </w:r>
            <w:r>
              <w:rPr>
                <w:rFonts w:ascii="Times New Roman CYR" w:hAnsi="Times New Roman CYR" w:cs="Times New Roman CYR"/>
                <w:sz w:val="24"/>
                <w:szCs w:val="24"/>
              </w:rPr>
              <w:t>до ризикiв. Пiсля переходу на однорiвневу структуру управлiння - Рада директорiв Товариства несе вiдповiдальнiсть за впровадження, надiйнiсть i забезпечення функцiонування систем управлiння ризиками.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Враховуючи однорiвневу структуру управлiння механiзм внутрiшнього контролю забезпечується Радою ди</w:t>
            </w:r>
            <w:r>
              <w:rPr>
                <w:rFonts w:ascii="Times New Roman CYR" w:hAnsi="Times New Roman CYR" w:cs="Times New Roman CYR"/>
                <w:sz w:val="24"/>
                <w:szCs w:val="24"/>
              </w:rPr>
              <w:t>ректорiв Товариства.Товариство регулярно залучає зовнiшнього аудитора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Функція комплаєнс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Товариством не затверд</w:t>
            </w:r>
            <w:r>
              <w:rPr>
                <w:rFonts w:ascii="Times New Roman CYR" w:hAnsi="Times New Roman CYR" w:cs="Times New Roman CYR"/>
                <w:sz w:val="24"/>
                <w:szCs w:val="24"/>
              </w:rPr>
              <w:t xml:space="preserve">жено окремого документу у виглядi полiтики з питань управлiння ризиками, але контроль за фiнансово-господарською дiяльнiстю товариства здiйснюється Радою директорiв через механiзми внутрiшнього контролю. </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w:t>
            </w:r>
            <w:r>
              <w:rPr>
                <w:rFonts w:ascii="Times New Roman CYR" w:hAnsi="Times New Roman CYR" w:cs="Times New Roman CYR"/>
                <w:sz w:val="24"/>
                <w:szCs w:val="24"/>
              </w:rPr>
              <w:t xml:space="preserve">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Дана практика не застосовується акцiонерним товариством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(внутрiшнiми документами АТ не регламентовано)</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Дана практика</w:t>
            </w:r>
            <w:r>
              <w:rPr>
                <w:rFonts w:ascii="Times New Roman CYR" w:hAnsi="Times New Roman CYR" w:cs="Times New Roman CYR"/>
                <w:sz w:val="24"/>
                <w:szCs w:val="24"/>
              </w:rPr>
              <w:t xml:space="preserve"> не застосовується акцiонерним товариством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(внутрiшнiми документами АТ не регламентовано)</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Товариством не завтерджувався кодекс етики</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затв</w:t>
            </w:r>
            <w:r>
              <w:rPr>
                <w:rFonts w:ascii="Times New Roman CYR" w:hAnsi="Times New Roman CYR" w:cs="Times New Roman CYR"/>
                <w:sz w:val="24"/>
                <w:szCs w:val="24"/>
              </w:rPr>
              <w:t>ерджено та оприлюднено політику щодо конфлікту інтересів, яка покриває такі питання: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 конфлікту інтересів, запобігання і управління конфліктом інтересів;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 правочинів із заінтересованістю;</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інсайдерської торгівлі; та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 зловживання службовим становище</w:t>
            </w:r>
            <w:r>
              <w:rPr>
                <w:rFonts w:ascii="Times New Roman CYR" w:hAnsi="Times New Roman CYR" w:cs="Times New Roman CYR"/>
                <w:sz w:val="24"/>
                <w:szCs w:val="24"/>
              </w:rPr>
              <w:t>м</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Оцінка корпоративного управління</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розкриває iнформа</w:t>
            </w:r>
            <w:r>
              <w:rPr>
                <w:rFonts w:ascii="Times New Roman CYR" w:hAnsi="Times New Roman CYR" w:cs="Times New Roman CYR"/>
                <w:sz w:val="24"/>
                <w:szCs w:val="24"/>
              </w:rPr>
              <w:t>цiю про оцiнку управлiння у Рiчному Звiтi про Корпоративне Управлiння. Додатково оцiнка дiяльностi Ради директорiв затверджується та розглядається на рiчних загальних зборах Товариства.</w:t>
            </w: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Кожні три роки проводиться комплексна оцінка системи корпоративного управління із залученням нез</w:t>
            </w:r>
            <w:r>
              <w:rPr>
                <w:rFonts w:ascii="Times New Roman CYR" w:hAnsi="Times New Roman CYR" w:cs="Times New Roman CYR"/>
                <w:sz w:val="24"/>
                <w:szCs w:val="24"/>
              </w:rPr>
              <w:t>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Оцiнка системи корпоративного управлiння здiйснюється вiдповiдно до вимог, встановлених чиним законодавством України.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Перспективи розвитку та удосконалення корпоративного управлiння включають посилений монiторинг практики к</w:t>
            </w:r>
            <w:r>
              <w:rPr>
                <w:rFonts w:ascii="Times New Roman CYR" w:hAnsi="Times New Roman CYR" w:cs="Times New Roman CYR"/>
                <w:sz w:val="24"/>
                <w:szCs w:val="24"/>
              </w:rPr>
              <w:t>орпоративного управлiння Товариства, затвердження та розкриття фiнансових та iнвестицiйних планiв на рiк та середньострокову перспективу. Удосконалення включає дотримання принципiв корпоративного управлiння, пiдвищення iнвестицiйної привабливостi.</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Iнша iнф</w:t>
            </w:r>
            <w:r>
              <w:rPr>
                <w:rFonts w:ascii="Times New Roman CYR" w:hAnsi="Times New Roman CYR" w:cs="Times New Roman CYR"/>
                <w:sz w:val="24"/>
                <w:szCs w:val="24"/>
              </w:rPr>
              <w:t>ормацiя, що мала суттєвий вплив на стан корпоративного управлiння Товариства вiдсутня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03.04.2025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очне голосування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електронне голосування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X</w:t>
            </w:r>
            <w:r>
              <w:rPr>
                <w:rFonts w:ascii="Times New Roman CYR" w:hAnsi="Times New Roman CYR" w:cs="Times New Roman CYR"/>
                <w:sz w:val="24"/>
                <w:szCs w:val="24"/>
              </w:rPr>
              <w:tab/>
              <w:t>опитування (дистанційно)</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загальнi збори акцiонерiв були проведенi вiдповiдно до статтi 58 Закону України "Про акцiонернi товариства"</w:t>
            </w:r>
          </w:p>
        </w:tc>
      </w:tr>
      <w:tr w:rsidR="000000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Питання порядку денного та прийняті рішенн</w:t>
            </w:r>
            <w:r>
              <w:rPr>
                <w:rFonts w:ascii="Times New Roman CYR" w:hAnsi="Times New Roman CYR" w:cs="Times New Roman CYR"/>
                <w:b/>
                <w:bCs/>
                <w:sz w:val="24"/>
                <w:szCs w:val="24"/>
              </w:rPr>
              <w:t>я:</w:t>
            </w:r>
          </w:p>
        </w:tc>
      </w:tr>
      <w:tr w:rsidR="000000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 обрання голови та секретаря загальних зборiв акцiонерiв.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Обрати Титикала Михайла Федоровича - головою загальних зборiв акцiонерiв, Сивик Вiталiю Євгенiївну - секретарем загальних зборiв акцiонерiв.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Розгляд звiту Правлiння Товариства за 2024 рiк та прийняття рiшення за результатами розгляду звiту.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рiшення:Затвердити звiт Правлiння Товариства за 2024 р., визнати роботу Правлiння задовiльною.</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Розгляд звiту Наглядової ради Товариства за 20</w:t>
            </w:r>
            <w:r>
              <w:rPr>
                <w:rFonts w:ascii="Times New Roman CYR" w:hAnsi="Times New Roman CYR" w:cs="Times New Roman CYR"/>
                <w:sz w:val="24"/>
                <w:szCs w:val="24"/>
              </w:rPr>
              <w:t>24 рiк та прийняття рiшення за результатами розгляду звiту.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звiт Наглядової ради Товариства"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Розгляд висновкiв аудиторського звiту суб'єкта аудиторської дiяльностi за 2024 рiк та затвердження заходiв за результа</w:t>
            </w:r>
            <w:r>
              <w:rPr>
                <w:rFonts w:ascii="Times New Roman CYR" w:hAnsi="Times New Roman CYR" w:cs="Times New Roman CYR"/>
                <w:sz w:val="24"/>
                <w:szCs w:val="24"/>
              </w:rPr>
              <w:t>тами розгляду звiту суб'єкта аудиторської дiяльностi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Взяти до уваги висновки аудиторського звiту суб'єкта аудиторської дiяльностi за 2024 рiк, затвердити заходи за результатами розгляду звiту суб'єкта аудиторської дiяльностi </w:t>
            </w:r>
            <w:r>
              <w:rPr>
                <w:rFonts w:ascii="Times New Roman CYR" w:hAnsi="Times New Roman CYR" w:cs="Times New Roman CYR"/>
                <w:sz w:val="24"/>
                <w:szCs w:val="24"/>
              </w:rPr>
              <w:t xml:space="preserve">за 2024 рiк.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Затвердження результатiв фiнансово-господарської дiяльностi Товариства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результати фiнансово-господарської дiяльностi (рiчну фiнансову звiтнiсть) Товариства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Затвердження порядку розп</w:t>
            </w:r>
            <w:r>
              <w:rPr>
                <w:rFonts w:ascii="Times New Roman CYR" w:hAnsi="Times New Roman CYR" w:cs="Times New Roman CYR"/>
                <w:sz w:val="24"/>
                <w:szCs w:val="24"/>
              </w:rPr>
              <w:t>одiлу прибутку Товариства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Чистий прибуток, отриманий Товариством за результатами дiяльностi у 2024 роцi, у розмiрi 121 863 000 грн. розподiлити наступним чином:</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- 12 186 300 грн. направити на виплату дивiдендiв;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- 109 676 700</w:t>
            </w:r>
            <w:r>
              <w:rPr>
                <w:rFonts w:ascii="Times New Roman CYR" w:hAnsi="Times New Roman CYR" w:cs="Times New Roman CYR"/>
                <w:sz w:val="24"/>
                <w:szCs w:val="24"/>
              </w:rPr>
              <w:t xml:space="preserve"> грн. залишити нерозподiленими.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виплату дивiдендiв, затвердження розмiру дивiдендiв та способу їх виплати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Здiйснити виплату дивiдендiв за простими iменними акцiями Товариства з чистого прибутку, отриманого Товарис</w:t>
            </w:r>
            <w:r>
              <w:rPr>
                <w:rFonts w:ascii="Times New Roman CYR" w:hAnsi="Times New Roman CYR" w:cs="Times New Roman CYR"/>
                <w:sz w:val="24"/>
                <w:szCs w:val="24"/>
              </w:rPr>
              <w:t>твом за результатами дiяльностi у 2024 роцi, у сумi 12 186 300 (дванадцять мiльйонiв сто вiсiмдесят шiсть тисяч триста) гривень. Затвердити розмiр дивiдендiв на 1 (одну) просту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iменну акцiю у сумi 4 грн 28 коп (чотири гривнi 28 копiйок). Дивiденди виплатит</w:t>
            </w:r>
            <w:r>
              <w:rPr>
                <w:rFonts w:ascii="Times New Roman CYR" w:hAnsi="Times New Roman CYR" w:cs="Times New Roman CYR"/>
                <w:sz w:val="24"/>
                <w:szCs w:val="24"/>
              </w:rPr>
              <w:t>и безпосередньо акцiонерам в порядку, встановленому Радою директорiв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Про основнi напрями дiяльностi (бiзнес-план) Товариства на 2025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основнi напрями дiяльностi (бiзнес-план) Товариства на 2025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Про попереднє надання згоди на вчинення значних правочинiв.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Попередньо надати згоду на вчинення протягом одного року з дня прийняття цього рiшення Товариством значних правочинiв щодо поставки, купiвлi-продажу, надання послуг, кредитних</w:t>
            </w:r>
            <w:r>
              <w:rPr>
                <w:rFonts w:ascii="Times New Roman CYR" w:hAnsi="Times New Roman CYR" w:cs="Times New Roman CYR"/>
                <w:sz w:val="24"/>
                <w:szCs w:val="24"/>
              </w:rPr>
              <w:t xml:space="preserve"> договорiв, договорiв позики, застави майна, поруки, гарантiї, iпотеки (в т. ч. щодо нерухомого майна)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 будь-яких iнших правочинiв для забезпечення господарської дiяльностi Товариства граничною сукупною вартiстю, що перевищує 25 % вартостi активiв Товари</w:t>
            </w:r>
            <w:r>
              <w:rPr>
                <w:rFonts w:ascii="Times New Roman CYR" w:hAnsi="Times New Roman CYR" w:cs="Times New Roman CYR"/>
                <w:sz w:val="24"/>
                <w:szCs w:val="24"/>
              </w:rPr>
              <w:t>ства за даними рiчної фiнансової звiтностi за 2024 рiк.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Про змiну структури управлiння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Змiнити структуру управлiння Товариства на однорiвневу структуру управлiння.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Внесення змiн та доповнень до Статуту Товариства шляхо</w:t>
            </w:r>
            <w:r>
              <w:rPr>
                <w:rFonts w:ascii="Times New Roman CYR" w:hAnsi="Times New Roman CYR" w:cs="Times New Roman CYR"/>
                <w:sz w:val="24"/>
                <w:szCs w:val="24"/>
              </w:rPr>
              <w:t>м викладення його в новiй редакцiї.</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Внести змiни та доповнення до Статуту Товариства, шляхом викладення його в новiй редакцiї, у зв'язку iз змiною структури управлiння Товариства та необхiднiстю приведення Статуту у вiдповiднiсть до чинно</w:t>
            </w:r>
            <w:r>
              <w:rPr>
                <w:rFonts w:ascii="Times New Roman CYR" w:hAnsi="Times New Roman CYR" w:cs="Times New Roman CYR"/>
                <w:sz w:val="24"/>
                <w:szCs w:val="24"/>
              </w:rPr>
              <w:t>го законодавства України. Уповноважити голову та секретаря загальних зборiв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пiдписати Статут в новiй редакцiї.</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Затвердження положення Товариства "Про Раду директорiв".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Затвердити положення Товариства "Про Раду директорiв".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Про при</w:t>
            </w:r>
            <w:r>
              <w:rPr>
                <w:rFonts w:ascii="Times New Roman CYR" w:hAnsi="Times New Roman CYR" w:cs="Times New Roman CYR"/>
                <w:sz w:val="24"/>
                <w:szCs w:val="24"/>
              </w:rPr>
              <w:t>пинення повноважень членiв Наглядової ради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Припинити повноваження членiв Наглядової ради Титикала Михайла Федоровича, Пирога Романа Романовича, Титикало Лариси Михайлiвни, Костирка Iгоря Григоровича, Телеткова Олександра Васил</w:t>
            </w:r>
            <w:r>
              <w:rPr>
                <w:rFonts w:ascii="Times New Roman CYR" w:hAnsi="Times New Roman CYR" w:cs="Times New Roman CYR"/>
                <w:sz w:val="24"/>
                <w:szCs w:val="24"/>
              </w:rPr>
              <w:t>ьовича.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Про припинення повноважень Голови та членiв Правлiння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Припинити повноваження Голови правлiння Пирога Романа Васильовича, членiв Правлiння Чеботарьова Романа Iвановича, Медвiдя Тараса Орестовича, Костура Ореста Мико</w:t>
            </w:r>
            <w:r>
              <w:rPr>
                <w:rFonts w:ascii="Times New Roman CYR" w:hAnsi="Times New Roman CYR" w:cs="Times New Roman CYR"/>
                <w:sz w:val="24"/>
                <w:szCs w:val="24"/>
              </w:rPr>
              <w:t>лайовича, Лесюк Iванни Михайлiвни.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Про обрання членiв Ради директорiв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Обрати Раду директорiв Товариства строком на три роки у складi:</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Титикало Михайло Федорович - виконавчий директор;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Пирiг Роман Васильович - виконавчий ди</w:t>
            </w:r>
            <w:r>
              <w:rPr>
                <w:rFonts w:ascii="Times New Roman CYR" w:hAnsi="Times New Roman CYR" w:cs="Times New Roman CYR"/>
                <w:sz w:val="24"/>
                <w:szCs w:val="24"/>
              </w:rPr>
              <w:t>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Чеботарьов Роман Iванович - виконавчий директор.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Титикало Лариса Михайлiвна - невиконавчий директор;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Пирiг Роман Романович - невиконавчий директор;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Костирко Iгор Григорович - невиконавчий директор;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Телетков Олександр Васильович - невиконавчий дирек</w:t>
            </w:r>
            <w:r>
              <w:rPr>
                <w:rFonts w:ascii="Times New Roman CYR" w:hAnsi="Times New Roman CYR" w:cs="Times New Roman CYR"/>
                <w:sz w:val="24"/>
                <w:szCs w:val="24"/>
              </w:rPr>
              <w:t>тор.</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Затвердження умов трудових та цивiльно-правових договорiв, що укладатимуться з членами Ради директорiв Товариства, встановлення розмiру їх винагороди та призначення особи, уповноваженої на пiдписання договору з членами Ради директорiв вiд iменi То</w:t>
            </w:r>
            <w:r>
              <w:rPr>
                <w:rFonts w:ascii="Times New Roman CYR" w:hAnsi="Times New Roman CYR" w:cs="Times New Roman CYR"/>
                <w:sz w:val="24"/>
                <w:szCs w:val="24"/>
              </w:rPr>
              <w:t>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Встановити, що головний виконавчий директор та виконавчi директори Ради директорiв Товариства отримуватимуть винагороду вiдповiдно до трудових контрактiв, що укладатимуться з ними, а невиконавчi директори Ради директорiв Товарис</w:t>
            </w:r>
            <w:r>
              <w:rPr>
                <w:rFonts w:ascii="Times New Roman CYR" w:hAnsi="Times New Roman CYR" w:cs="Times New Roman CYR"/>
                <w:sz w:val="24"/>
                <w:szCs w:val="24"/>
              </w:rPr>
              <w:t>тва отримуватимуть винагороду вiдповiдно до цивiльно-правових договорiв, що укладатимуться з ними. Затвердити умови трудових контрактiв та цивiльно-правових договорiв, що укладатимуться з членами Ради директорiв Товариства. Обрати Голову загальних зборiв о</w:t>
            </w:r>
            <w:r>
              <w:rPr>
                <w:rFonts w:ascii="Times New Roman CYR" w:hAnsi="Times New Roman CYR" w:cs="Times New Roman CYR"/>
                <w:sz w:val="24"/>
                <w:szCs w:val="24"/>
              </w:rPr>
              <w:t>собою, яка уповноважується на пiдписання трудового контракту з головним виконавчим директором, а головного виконавчого директора - особою, яка уповноважується на пiдписання контрактiв та договорiв з членами Ради директорiв Товариства.</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URL-адреса протоколу загальних зборів:</w:t>
            </w:r>
          </w:p>
        </w:tc>
        <w:tc>
          <w:tcPr>
            <w:tcW w:w="7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https://www.kpf.ua/wp-content/uploads/2025/04/protokol-richnyh-dystanczijnyh-zagalnyh-zboriv-akczioneriv.pdf</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000000">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t>Голова / член комітету ради</w:t>
            </w:r>
          </w:p>
        </w:tc>
      </w:tr>
      <w:tr w:rsidR="00000000">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- 3</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Васильович,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Телектов Олександр Васильович,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Чеботарьов Роман Iванович, 14.04.2025-31.12.2025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Протягом 2025 року було проведено 2 засiдання Ради директорiв Товариства, на яких було розглянуто 7 питань. Рiшення Ради директорiв були пов'язаннi з виконанням ос-новних функцiй та поточним управлiнням дiяльнiс</w:t>
            </w:r>
            <w:r>
              <w:rPr>
                <w:rFonts w:ascii="Times New Roman CYR" w:hAnsi="Times New Roman CYR" w:cs="Times New Roman CYR"/>
              </w:rPr>
              <w:t xml:space="preserve">тю  Емiтента. Серед найважливiших з них: </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розглянуто квартальнi результати роботи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прийнято рiшення про виплату квартальних премiй IТП;</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прийнято рiшення про пiдняття заробiтної плати тощо.</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оцiнка складу, структури та дiяльностi ради як колегiального органу (колективної придат-ностi ради);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Щодо розкриття iнформацiї про наглядовий орган, що здiйснює нагляд за дiяльнiстю виконавчого органу та представляє iнтереси вищого органу управлiння, т</w:t>
      </w:r>
      <w:r>
        <w:rPr>
          <w:rFonts w:ascii="Times New Roman CYR" w:hAnsi="Times New Roman CYR" w:cs="Times New Roman CYR"/>
          <w:sz w:val="24"/>
          <w:szCs w:val="24"/>
        </w:rPr>
        <w:t>а комiтети, що пiдзвiтнi такому органу варто зазначити, що в Товариствi функцiонує однорiвненва система управлiння, вiдповiдно до якої органами управлiння в Товариствi є загальнi збори акцiонерiв та Рада директорiв. Рада директорiв АТ "Кохавинська паперова</w:t>
      </w:r>
      <w:r>
        <w:rPr>
          <w:rFonts w:ascii="Times New Roman CYR" w:hAnsi="Times New Roman CYR" w:cs="Times New Roman CYR"/>
          <w:sz w:val="24"/>
          <w:szCs w:val="24"/>
        </w:rPr>
        <w:t xml:space="preserve"> фабрика" (далi - Рада директорiв) виконує функцiї колегiального виконавчого органу, що здiйснює управлiння Товариством та забезпечує контроль за дiяльнiстю виконавчих директорiв.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Iнформаця про назву, склад, повноваження, функцiонування, розмiр винагороди</w:t>
      </w:r>
      <w:r>
        <w:rPr>
          <w:rFonts w:ascii="Times New Roman CYR" w:hAnsi="Times New Roman CYR" w:cs="Times New Roman CYR"/>
          <w:sz w:val="24"/>
          <w:szCs w:val="24"/>
        </w:rPr>
        <w:t xml:space="preserve"> за рiк та змiни у складi органу: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Ради директорiв входять 7 (сiм) осiб, а саме: 3 (три) виконавчих директорiв, серед яких - Голова Ради директорiв, та 4 (чотири) невиконавчих директора. Очолює роботу Ради директорiв Головний виконавчий директо</w:t>
      </w:r>
      <w:r>
        <w:rPr>
          <w:rFonts w:ascii="Times New Roman CYR" w:hAnsi="Times New Roman CYR" w:cs="Times New Roman CYR"/>
          <w:sz w:val="24"/>
          <w:szCs w:val="24"/>
        </w:rPr>
        <w:t>р, який обирається Радою директорiв з числа її членiв.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у Товариствi з 14.04.2025 функцiонує Рада директорiв обрана загальними зборами акцiонерiв 03.04.2025 (Протокол ЗЗА №35 вiд 14.04.2025) у наступному складi: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Титикало Михайло Федорович - голова ради директорiв (виконавчий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Пирiг Роман Васильович - головний 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Чеботарьов Роман Iванович - 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Титикало Лариса Михайлiвна - невиконавчий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Пирiг Роман Романович</w:t>
      </w:r>
      <w:r>
        <w:rPr>
          <w:rFonts w:ascii="Times New Roman CYR" w:hAnsi="Times New Roman CYR" w:cs="Times New Roman CYR"/>
          <w:sz w:val="24"/>
          <w:szCs w:val="24"/>
        </w:rPr>
        <w:t xml:space="preserve"> - невиконавчий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Костирко Iгор Григорович - невиконавчий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Телетков Олександр Васильович - невиконавчий директор.</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Виконуючи свої обов'язки, члени Ради директорiв з моменту їх обрання дiяли у такий спосiб, який, на їхнє добросовiсне переконання, з найбiльшою ймовiрнiстю сприяв досягненню успiш</w:t>
      </w:r>
      <w:r>
        <w:rPr>
          <w:rFonts w:ascii="Times New Roman CYR" w:hAnsi="Times New Roman CYR" w:cs="Times New Roman CYR"/>
          <w:sz w:val="24"/>
          <w:szCs w:val="24"/>
        </w:rPr>
        <w:t>них ре-зультатiв дiяльностi Товариства; у своїй дiяльностi керувались чинним законодавством України, Статутом Товариства, Положенням про Раду директорiв Товариства; дiяли  з розумним ступенем обачностi, професiйностi та старанностi; особисто брали участь у</w:t>
      </w:r>
      <w:r>
        <w:rPr>
          <w:rFonts w:ascii="Times New Roman CYR" w:hAnsi="Times New Roman CYR" w:cs="Times New Roman CYR"/>
          <w:sz w:val="24"/>
          <w:szCs w:val="24"/>
        </w:rPr>
        <w:t xml:space="preserve"> засiданнях Ради директорiв; своєчасно надавали  Загальним зборам i Радi директорiв повну i точну iнформацiю про дiяльнiсть та фiнансовий стан Товариства.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Функцiонувння органу здiйснюється шляхом виконання своїх обов'язкiв членами Ради та, по мрi необхiдностi) проводення засiдань членiв Ради директорiв. </w:t>
      </w:r>
      <w:r>
        <w:rPr>
          <w:rFonts w:ascii="Times New Roman CYR" w:hAnsi="Times New Roman CYR" w:cs="Times New Roman CYR"/>
          <w:sz w:val="24"/>
          <w:szCs w:val="24"/>
        </w:rPr>
        <w:t xml:space="preserve">Зокрема у 2025 було проведено </w:t>
      </w:r>
      <w:r w:rsidR="00C814A6">
        <w:rPr>
          <w:rFonts w:ascii="Times New Roman CYR" w:hAnsi="Times New Roman CYR" w:cs="Times New Roman CYR"/>
          <w:sz w:val="24"/>
          <w:szCs w:val="24"/>
        </w:rPr>
        <w:t>2</w:t>
      </w:r>
      <w:r>
        <w:rPr>
          <w:rFonts w:ascii="Times New Roman CYR" w:hAnsi="Times New Roman CYR" w:cs="Times New Roman CYR"/>
          <w:sz w:val="24"/>
          <w:szCs w:val="24"/>
        </w:rPr>
        <w:t xml:space="preserve"> таких засiдан</w:t>
      </w:r>
      <w:r w:rsidR="00C814A6">
        <w:rPr>
          <w:rFonts w:ascii="Times New Roman CYR" w:hAnsi="Times New Roman CYR" w:cs="Times New Roman CYR"/>
          <w:sz w:val="24"/>
          <w:szCs w:val="24"/>
        </w:rPr>
        <w:t>ня</w:t>
      </w:r>
      <w:r>
        <w:rPr>
          <w:rFonts w:ascii="Times New Roman CYR" w:hAnsi="Times New Roman CYR" w:cs="Times New Roman CYR"/>
          <w:sz w:val="24"/>
          <w:szCs w:val="24"/>
        </w:rPr>
        <w:t>.</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Щодо винагороди членам Ради зазначаємо, що вiдповiдно п.1</w:t>
      </w:r>
      <w:r>
        <w:rPr>
          <w:rFonts w:ascii="Times New Roman CYR" w:hAnsi="Times New Roman CYR" w:cs="Times New Roman CYR"/>
          <w:sz w:val="24"/>
          <w:szCs w:val="24"/>
        </w:rPr>
        <w:t>0.1.3 Статуту членам Ради директорiв може виплачуватися винагорода за їхню дiяльнiсть. Порядок виплати винагороди членам Ради директорiв встановлюється статутом товариства або положенням про Раду директорiв.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оцiнка компетентностi та ефективностi кожн</w:t>
      </w:r>
      <w:r>
        <w:rPr>
          <w:rFonts w:ascii="Times New Roman CYR" w:hAnsi="Times New Roman CYR" w:cs="Times New Roman CYR"/>
          <w:sz w:val="24"/>
          <w:szCs w:val="24"/>
        </w:rPr>
        <w:t>ого члена ради, включаючи iнформацiю про його дiяльнiсть як посадової особи iнших юридичних осiб або iнш</w:t>
      </w:r>
      <w:r w:rsidR="00C814A6">
        <w:rPr>
          <w:rFonts w:ascii="Times New Roman CYR" w:hAnsi="Times New Roman CYR" w:cs="Times New Roman CYR"/>
          <w:sz w:val="24"/>
          <w:szCs w:val="24"/>
        </w:rPr>
        <w:t>у дiяльнiсть - оплачувану i без</w:t>
      </w:r>
      <w:r>
        <w:rPr>
          <w:rFonts w:ascii="Times New Roman CYR" w:hAnsi="Times New Roman CYR" w:cs="Times New Roman CYR"/>
          <w:sz w:val="24"/>
          <w:szCs w:val="24"/>
        </w:rPr>
        <w:t>оплатну;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Компетентнiсть та ефективнiсть кожного члена Ради директорiв перебуває на належному рiвнi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3)оцiнка незале</w:t>
      </w:r>
      <w:r>
        <w:rPr>
          <w:rFonts w:ascii="Times New Roman CYR" w:hAnsi="Times New Roman CYR" w:cs="Times New Roman CYR"/>
          <w:sz w:val="24"/>
          <w:szCs w:val="24"/>
        </w:rPr>
        <w:t>жностi кожного з незалежних членiв ради;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ради директорiв входять невиконавчi директори, якi не є незалежними директорами.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4)оцiнка компетентностi та ефективностi кожного з комiтетiв ради, їхнi функцiональнi повнова-ження. При цьому, комiтет</w:t>
      </w:r>
      <w:r>
        <w:rPr>
          <w:rFonts w:ascii="Times New Roman CYR" w:hAnsi="Times New Roman CYR" w:cs="Times New Roman CYR"/>
          <w:sz w:val="24"/>
          <w:szCs w:val="24"/>
        </w:rPr>
        <w:t xml:space="preserve"> ради з питань аудиту окремо має зазначати iнформацiю про свої ви-сновки щодо незалежностi проведеного зовнiшнього аудиту особи, зокрема незалежностi аудитора (аудиторської фiрми);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складi Ради директорiв комiтети не створювались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5)оцiнка виконання радою поставлених цiлей особи. У межах цього пункту зазначається iнформацiя щодо впливу рiшень, прийнятих радою протягом звiтного перiоду, з метою забезпечення досягнення поставлених перед особою стратегiчних цiлей. При цьому iнформацiя </w:t>
      </w:r>
      <w:r>
        <w:rPr>
          <w:rFonts w:ascii="Times New Roman CYR" w:hAnsi="Times New Roman CYR" w:cs="Times New Roman CYR"/>
          <w:sz w:val="24"/>
          <w:szCs w:val="24"/>
        </w:rPr>
        <w:t>щодо стратегiчних цiлей особи має мiстити загальний опис таких стратегiчних цiлей i не потребує розкриття iнформацiї (показникiв), що, згiдно з внутрiшнiми документами особи належить до iнформацiї з обмеженим доступом (конфiденцiйної iнформацiї та комерцiй</w:t>
      </w:r>
      <w:r>
        <w:rPr>
          <w:rFonts w:ascii="Times New Roman CYR" w:hAnsi="Times New Roman CYR" w:cs="Times New Roman CYR"/>
          <w:sz w:val="24"/>
          <w:szCs w:val="24"/>
        </w:rPr>
        <w:t>ної таємницi);</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Ради директорiв ухвалювали незалежнi рiшення та уникали конфлiкту iнтересiв, зокрема, ситуацiй, в яких у них iснує або може виникнути прямий чи опосередкований iнтерес щодо вико-ристання майна, iнформацiї або можливостей Товариства,</w:t>
      </w:r>
      <w:r>
        <w:rPr>
          <w:rFonts w:ascii="Times New Roman CYR" w:hAnsi="Times New Roman CYR" w:cs="Times New Roman CYR"/>
          <w:sz w:val="24"/>
          <w:szCs w:val="24"/>
        </w:rPr>
        <w:t xml:space="preserve"> якщо такий iнтерес суперечить або може суперечити iнтересам Товариства та якщо задоволення такого iнтересу призводить чи може призвести до заподiяння шкоди Товариству.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Рада директорiв належним чином виконувала завдання, покладенi на неї чи</w:t>
      </w:r>
      <w:r>
        <w:rPr>
          <w:rFonts w:ascii="Times New Roman CYR" w:hAnsi="Times New Roman CYR" w:cs="Times New Roman CYR"/>
          <w:sz w:val="24"/>
          <w:szCs w:val="24"/>
        </w:rPr>
        <w:t>нним за</w:t>
      </w:r>
      <w:r>
        <w:rPr>
          <w:rFonts w:ascii="Times New Roman CYR" w:hAnsi="Times New Roman CYR" w:cs="Times New Roman CYR"/>
          <w:sz w:val="24"/>
          <w:szCs w:val="24"/>
        </w:rPr>
        <w:t xml:space="preserve">конодавством та Статутом Товариства.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Дiї, здiйсненi Радою директорiв, забезпечили стабiльну безперервну дiяльнiсть Товариства вiдповiдно до вимог законодавства. Фактiв iстотних порушень законодавства України пiд час здiйснення Товариством госпо</w:t>
      </w:r>
      <w:r>
        <w:rPr>
          <w:rFonts w:ascii="Times New Roman CYR" w:hAnsi="Times New Roman CYR" w:cs="Times New Roman CYR"/>
          <w:sz w:val="24"/>
          <w:szCs w:val="24"/>
        </w:rPr>
        <w:t>дарської дiяльностi у 2025 роцi не виявлено.</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w:t>
      </w:r>
      <w:r>
        <w:rPr>
          <w:rFonts w:ascii="Times New Roman CYR" w:hAnsi="Times New Roman CYR" w:cs="Times New Roman CYR"/>
          <w:sz w:val="24"/>
          <w:szCs w:val="24"/>
        </w:rPr>
        <w:t>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Дiяльнiсть Ради директорiв зумовила позитивнi змiни в дiяльностi Товариства.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5. Виконавчий орган</w:t>
      </w: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колегіального виконавчого органу та його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000000">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члена виконавчого органу,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заступник голови виконавчого органу</w:t>
            </w:r>
          </w:p>
        </w:tc>
        <w:tc>
          <w:tcPr>
            <w:tcW w:w="3550" w:type="dxa"/>
            <w:gridSpan w:val="3"/>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t>Голова / член комітету виконавчого органу</w:t>
            </w:r>
          </w:p>
        </w:tc>
      </w:tr>
      <w:tr w:rsidR="00000000">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- 3</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Васильович, 01.01.2024-14.04.2025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Чеботарьов Роман Iванович, 01.01.2024-14.04.2025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Лесюк Iванна Михайлiвна, 01.01.2024-14.04.2025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Медвiдь Тарас Орестович, 01.01.2024-14.04.2025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Костур Орест Миколайович, 01.01.2024-14.04.2025</w:t>
            </w: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Кількість засідань колегіального виконавчого органу у звітному періоді:</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колегіального виконавчого органу:</w:t>
            </w:r>
          </w:p>
        </w:tc>
        <w:tc>
          <w:tcPr>
            <w:tcW w:w="8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Протягом 2025 року було проведено 2 засiдання Правлiння Товариства, на яких було розглянуто 7 питань. Рiшення Правлiння були пов'язаннi з виконанням ос- новних функцiй та поточним управлiнням дiяльнiст</w:t>
            </w:r>
            <w:r>
              <w:rPr>
                <w:rFonts w:ascii="Times New Roman CYR" w:hAnsi="Times New Roman CYR" w:cs="Times New Roman CYR"/>
              </w:rPr>
              <w:t xml:space="preserve">ю  Емiтента. Серед найважливiших з них: </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розглянуто квартальнi результати роботи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прийнято рiшення про виплату квартальних премiй IТП;</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прийнято рiшення про пiдняття заробiтної плати тощо.</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виконавчого органу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Зазначається така iнформацiя: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оцiнка складу, структури та дiяльностi виконавчого органу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оцiнка компетентностi та ефективностi керiвника та заступникiв керiвника / голови та членiв колегiального виконавчого органу, включаючи iнфо</w:t>
      </w:r>
      <w:r>
        <w:rPr>
          <w:rFonts w:ascii="Times New Roman CYR" w:hAnsi="Times New Roman CYR" w:cs="Times New Roman CYR"/>
          <w:sz w:val="24"/>
          <w:szCs w:val="24"/>
        </w:rPr>
        <w:t>рмацiю про його дiяльнiсть як посадової особи iнших юридичних осiб або iншу дiяльнiсть - оплачувану i безоплатну</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оцiнка виконання виконавчим органом поставлених цiлей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проводилсь</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iнформацiя про те, яким чином дiял</w:t>
      </w:r>
      <w:r>
        <w:rPr>
          <w:rFonts w:ascii="Times New Roman CYR" w:hAnsi="Times New Roman CYR" w:cs="Times New Roman CYR"/>
          <w:sz w:val="24"/>
          <w:szCs w:val="24"/>
        </w:rPr>
        <w:t>ьнiсть виконавчого органу зумовила змiни у фiнансово-господарськiй дiяльностi особи</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вiдсутня </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6. Інформація про корпоративного секретаря, а також звіт щодо результатів його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Сивик Вiталiя Євгенiївна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Чинне законодавство України, Статут Товариства та Положення "Про корпоративного секретаря"</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АТ "Коха</w:t>
            </w:r>
            <w:r>
              <w:rPr>
                <w:rFonts w:ascii="Times New Roman CYR" w:hAnsi="Times New Roman CYR" w:cs="Times New Roman CYR"/>
                <w:sz w:val="24"/>
                <w:szCs w:val="24"/>
              </w:rPr>
              <w:t>винська ПФ"</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29.01.2025 протокол №67</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положення звіту щодо 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Звiт щодо результатiв дiяльностi корпоративного секретаря не готувався та не затверджувався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7. Опис основних характеристик систем внутрішнього контрол</w:t>
      </w:r>
      <w:r>
        <w:rPr>
          <w:rFonts w:ascii="Times New Roman CYR" w:hAnsi="Times New Roman CYR" w:cs="Times New Roman CYR"/>
          <w:b/>
          <w:bCs/>
          <w:sz w:val="24"/>
          <w:szCs w:val="24"/>
        </w:rPr>
        <w:t>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функцiй пiдроздiлiв першої лiнiї захисту та перелiк ключових пiдроздiлiв вiдсутнiй, так як їх впровадження для Товариства не є обов'язковим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підрозділів та опис функ</w:t>
            </w:r>
            <w:r>
              <w:rPr>
                <w:rFonts w:ascii="Times New Roman CYR" w:hAnsi="Times New Roman CYR" w:cs="Times New Roman CYR"/>
                <w:sz w:val="24"/>
                <w:szCs w:val="24"/>
              </w:rPr>
              <w:t>цій підрозділів другої лінії захисту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функцiй пiдроздiлiв другої лiнiї захисту та перелiк ключових пiдроздiлiв вiдсутнiй, так як їх впровадження для Товариства не є обов'язковим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Опи</w:t>
            </w:r>
            <w:r>
              <w:rPr>
                <w:rFonts w:ascii="Times New Roman CYR" w:hAnsi="Times New Roman CYR" w:cs="Times New Roman CYR"/>
              </w:rPr>
              <w:t>с функцiй пiдроздiлiв третьої лiнiї захисту та перелiк ключових пiдроздiлiв вiдсутнiй, так як їх впровадження для Товариства не є обов'язковим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Наявність затвердженого документу (документів), який(які) визначає(ють) політику системи внутрішнього к</w:t>
            </w:r>
            <w:r>
              <w:rPr>
                <w:rFonts w:ascii="Times New Roman CYR" w:hAnsi="Times New Roman CYR" w:cs="Times New Roman CYR"/>
                <w:sz w:val="24"/>
                <w:szCs w:val="24"/>
              </w:rPr>
              <w:t>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Немає. Система внутрiшнього контролю i управлiнн</w:t>
            </w:r>
            <w:r>
              <w:rPr>
                <w:rFonts w:ascii="Times New Roman CYR" w:hAnsi="Times New Roman CYR" w:cs="Times New Roman CYR"/>
                <w:sz w:val="24"/>
                <w:szCs w:val="24"/>
              </w:rPr>
              <w:t xml:space="preserve">я ризиками визначає всi внутрiшнi правила та процедури контролю, запровадженi керiвництвом для досягнення поставленої мети - забезпечення (в межах можливого) стабiльного i ефективного функцiонування Товариства, дотримання внутрiшньогосподарської полiтики, </w:t>
            </w:r>
            <w:r>
              <w:rPr>
                <w:rFonts w:ascii="Times New Roman CYR" w:hAnsi="Times New Roman CYR" w:cs="Times New Roman CYR"/>
                <w:sz w:val="24"/>
                <w:szCs w:val="24"/>
              </w:rPr>
              <w:t>збереження та рацiонального використання активiв.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i управлiння ризиками в Товариствi використовуються рiзнi методи, вони включають в себе такi елементи, як: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w:t>
            </w:r>
            <w:r>
              <w:rPr>
                <w:rFonts w:ascii="Times New Roman CYR" w:hAnsi="Times New Roman CYR" w:cs="Times New Roman CYR"/>
                <w:sz w:val="24"/>
                <w:szCs w:val="24"/>
              </w:rPr>
              <w:t>цiя, рахунки i подвiйний запис);</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аудит, контроль, ревiзiя (перевiрка документiв, перевiрка вiрностi арифметичних розрахункiв, перевiрка дотримання правил облiку окремих госп</w:t>
            </w:r>
            <w:r>
              <w:rPr>
                <w:rFonts w:ascii="Times New Roman CYR" w:hAnsi="Times New Roman CYR" w:cs="Times New Roman CYR"/>
                <w:sz w:val="24"/>
                <w:szCs w:val="24"/>
              </w:rPr>
              <w:t>одарських операцiй, iнвентаризацiя, усне опитування персоналу, пiдтвердження i простежування).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Товариством.</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Особами, вiдповiдальними за внутрiшнi контролi та управл</w:t>
            </w:r>
            <w:r>
              <w:rPr>
                <w:rFonts w:ascii="Times New Roman CYR" w:hAnsi="Times New Roman CYR" w:cs="Times New Roman CYR"/>
                <w:sz w:val="24"/>
                <w:szCs w:val="24"/>
              </w:rPr>
              <w:t>iння ризиками є Голова правлiння, пiсля переходу на однорiвневу структуру управлiння - Головний виконавчий директор та головний бухгалтер Товариства.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звіту щодо системи внутрішнього контролю (у тому числі комплаєнс-р</w:t>
            </w:r>
            <w:r>
              <w:rPr>
                <w:rFonts w:ascii="Times New Roman CYR" w:hAnsi="Times New Roman CYR" w:cs="Times New Roman CYR"/>
                <w:sz w:val="24"/>
                <w:szCs w:val="24"/>
              </w:rPr>
              <w:t>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положення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Звiт системи внутрiшнього контролю не готувався</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Окремої декларацiї схильностi до ризикiв в Товариствi немає, оскiльки його обов'язкова наявнiсть не передбачена чинним законодавством України. Управлiння ризиками Товариства являє собою процес їх мiнi</w:t>
            </w:r>
            <w:r>
              <w:rPr>
                <w:rFonts w:ascii="Times New Roman CYR" w:hAnsi="Times New Roman CYR" w:cs="Times New Roman CYR"/>
                <w:sz w:val="24"/>
                <w:szCs w:val="24"/>
              </w:rPr>
              <w:t>мiзацiї або мiнiмiзацiї їхнiх наслiдкiв. Основнi фiнансовi iнструменти Товариства, якi несуть в собi фiнансовi ризики, включають грошовi кошти, дебiторську заборгованiсть, кредиторську заборгованiсть, кредити, та пiддаються наступним фiнансовим ризикам: ри</w:t>
            </w:r>
            <w:r>
              <w:rPr>
                <w:rFonts w:ascii="Times New Roman CYR" w:hAnsi="Times New Roman CYR" w:cs="Times New Roman CYR"/>
                <w:sz w:val="24"/>
                <w:szCs w:val="24"/>
              </w:rPr>
              <w:t>нковий, ризик втрати лiквiдностi, кредитний ризик.</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Крiм зазначених вище, суттєвий вплив на дiяльнiсть Товариства можуть мати такi зовнiшнi ризики, як: нестабiльнiсть, суперечливiсть законодавства; непередбаченi дiї державних органiв; нестабiльнiсть економi</w:t>
            </w:r>
            <w:r>
              <w:rPr>
                <w:rFonts w:ascii="Times New Roman CYR" w:hAnsi="Times New Roman CYR" w:cs="Times New Roman CYR"/>
                <w:sz w:val="24"/>
                <w:szCs w:val="24"/>
              </w:rPr>
              <w:t>чної (фiнансової, податкової, зовнiшньоекономiчної i iн.) полiтики; непередбачена змiна кон'юнктури внутрiшнього i зовнiшнього ринку; непередбаченi дiї конкурентiв.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w:t>
            </w:r>
            <w:r>
              <w:rPr>
                <w:rFonts w:ascii="Times New Roman CYR" w:hAnsi="Times New Roman CYR" w:cs="Times New Roman CYR"/>
                <w:sz w:val="24"/>
                <w:szCs w:val="24"/>
              </w:rPr>
              <w:t>ня з мiнiмiзацiї ризикiв, спираючись на власнi знання та досвiд, застосовуючи наявнi ресурси.</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1750"/>
        <w:gridCol w:w="175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пакета акцій, що знаходиться в прямому та (опосередкованому) вол</w:t>
            </w:r>
            <w:r>
              <w:rPr>
                <w:rFonts w:ascii="Times New Roman CYR" w:hAnsi="Times New Roman CYR" w:cs="Times New Roman CYR"/>
              </w:rPr>
              <w:t>одінні</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19,741736</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19,741736</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16,244317</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16,244317</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11,919244</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11,919244</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Телетков Олександр Васильович</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11,125729</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11,125729</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Горянська Марiя Володимирiвна</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10,000007</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10,000007</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Серембiцька Оксана Романiвна</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c>
          <w:tcPr>
            <w:tcW w:w="175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35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3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наявного обмеження</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3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вимог пункту 10 роздiлу VI Закону України "Про депозитарну систему України", у разi якщо власник цiнних паперiв до 1 липня 2024 року не уклав з депозитарною установою, обраною емiтентом, договiр про обслуговування рахунку в цiнних паперах вiд</w:t>
            </w:r>
            <w:r>
              <w:rPr>
                <w:rFonts w:ascii="Times New Roman CYR" w:hAnsi="Times New Roman CYR" w:cs="Times New Roman CYR"/>
              </w:rPr>
              <w:t xml:space="preserve">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 власнику жодних прав за цiнним</w:t>
            </w:r>
            <w:r>
              <w:rPr>
                <w:rFonts w:ascii="Times New Roman CYR" w:hAnsi="Times New Roman CYR" w:cs="Times New Roman CYR"/>
              </w:rPr>
              <w:t>и паперами.</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Кiлькiсть акцiй за таким обмеженням 76762 простi iменнi акцiї</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500"/>
        <w:gridCol w:w="1500"/>
        <w:gridCol w:w="3140"/>
        <w:gridCol w:w="3160"/>
        <w:gridCol w:w="31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Порядок призначення та звільнення посадової особи</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Сивик Вiталiя Євгенiївна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Корпоратвиний секретар (призначено Наглядовою Радою 29.01.2025 року, Протокол №67 вiд 29.01.2025 )</w:t>
            </w:r>
          </w:p>
        </w:tc>
        <w:tc>
          <w:tcPr>
            <w:tcW w:w="316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Корпоративний секретар є посадовою особою, яка вiдповiдає за ефективну поточну взаємодiю товариства з акцiонерами, iншими iнвесторами, координацiю дiй Товари</w:t>
            </w:r>
            <w:r>
              <w:rPr>
                <w:rFonts w:ascii="Times New Roman CYR" w:hAnsi="Times New Roman CYR" w:cs="Times New Roman CYR"/>
              </w:rPr>
              <w:t>ства щодо захисту прав та iнтересiв акцiонерiв, пiдтримання ефективної роботи Ради директорiв, а також виконує iншi функцiї, визначенi чинним законодавством, статутом акцiонерного товариства та внутрiшнiми Положеннями Товариства.</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Рада директорiв призначає </w:t>
            </w:r>
            <w:r>
              <w:rPr>
                <w:rFonts w:ascii="Times New Roman CYR" w:hAnsi="Times New Roman CYR" w:cs="Times New Roman CYR"/>
              </w:rPr>
              <w:t>Корпоративного секретаря Товариства. З Корпоративним секретарем укладається трудовий договiр (контракт) або цивiльно-правовий договiр, умови якого затверджуються Радою директорiв. Договiр вiд iменi Товариства пiдписується особою, уповноваженою Радою директ</w:t>
            </w:r>
            <w:r>
              <w:rPr>
                <w:rFonts w:ascii="Times New Roman CYR" w:hAnsi="Times New Roman CYR" w:cs="Times New Roman CYR"/>
              </w:rPr>
              <w:t>орiв.Повноваження корпоративного секретаря є чинними з дати його призначення та припиняються з дати призначення нового корпоративного секретаря. За рiшенням Ради директорiв повноваження корпоративного секретаря можуть бути у будь-який час та з будь-яких пi</w:t>
            </w:r>
            <w:r>
              <w:rPr>
                <w:rFonts w:ascii="Times New Roman CYR" w:hAnsi="Times New Roman CYR" w:cs="Times New Roman CYR"/>
              </w:rPr>
              <w:t>дстав припиненi або корпоративний секретар може бути тимчасово вiдсторонений вiд виконання своїх повноважень. Рада директорiв має право у будь-який час та з будь-яких пiдстав звiльнити корпоративного секретаря або вiдсторонити його вiд виконання повноважен</w:t>
            </w:r>
            <w:r>
              <w:rPr>
                <w:rFonts w:ascii="Times New Roman CYR" w:hAnsi="Times New Roman CYR" w:cs="Times New Roman CYR"/>
              </w:rPr>
              <w:t xml:space="preserve">ь.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Без рiшення Ради директорiв повноваження корпоративного секретаря достроково припиняються:</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за його бажанням за умови письмового повiдомлення про це Товариства за два тижнi;</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r>
              <w:rPr>
                <w:rFonts w:ascii="Times New Roman CYR" w:hAnsi="Times New Roman CYR" w:cs="Times New Roman CYR"/>
              </w:rPr>
              <w:tab/>
              <w:t>у разi неможливостi виконання обов'язкiв корпоративного секретаря за стан</w:t>
            </w:r>
            <w:r>
              <w:rPr>
                <w:rFonts w:ascii="Times New Roman CYR" w:hAnsi="Times New Roman CYR" w:cs="Times New Roman CYR"/>
              </w:rPr>
              <w:t>ом здоров'я;</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r>
              <w:rPr>
                <w:rFonts w:ascii="Times New Roman CYR" w:hAnsi="Times New Roman CYR" w:cs="Times New Roman CYR"/>
              </w:rPr>
              <w:tab/>
              <w:t>у разi набрання законної сили вироком чи рiшенням суду, яким його засуджено до покарання, що виключає можливiсть виконання обов'язкiв корпоративного секретаря;</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r>
              <w:rPr>
                <w:rFonts w:ascii="Times New Roman CYR" w:hAnsi="Times New Roman CYR" w:cs="Times New Roman CYR"/>
              </w:rPr>
              <w:tab/>
              <w:t>у разi смертi, визнання його недiєздатним, обмежено дiєздатним, безвiсно вiдс</w:t>
            </w:r>
            <w:r>
              <w:rPr>
                <w:rFonts w:ascii="Times New Roman CYR" w:hAnsi="Times New Roman CYR" w:cs="Times New Roman CYR"/>
              </w:rPr>
              <w:t>утнiм, померлим</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Титикало Михайло Федорович</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Голова Ради директорiв (виконавчий директор)</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r>
              <w:rPr>
                <w:rFonts w:ascii="Times New Roman CYR" w:hAnsi="Times New Roman CYR" w:cs="Times New Roman CYR"/>
                <w:sz w:val="24"/>
                <w:szCs w:val="24"/>
              </w:rPr>
              <w:t xml:space="preserve"> 179559,55</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iз законодавством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URL-адреса вебсайту особи, за якою розміщено звіт про </w:t>
            </w:r>
            <w:r>
              <w:rPr>
                <w:rFonts w:ascii="Times New Roman CYR" w:hAnsi="Times New Roman CYR" w:cs="Times New Roman CYR"/>
                <w:sz w:val="24"/>
                <w:szCs w:val="24"/>
              </w:rPr>
              <w:t>винагороду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членам наглядової ради не складався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Телетков Олександр Васильович</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невиконавчий директор</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 179559,55</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w:t>
            </w:r>
            <w:r>
              <w:rPr>
                <w:rFonts w:ascii="Times New Roman CYR" w:hAnsi="Times New Roman CYR" w:cs="Times New Roman CYR"/>
                <w:sz w:val="24"/>
                <w:szCs w:val="24"/>
              </w:rPr>
              <w:t>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w:t>
            </w:r>
            <w:r>
              <w:rPr>
                <w:rFonts w:ascii="Times New Roman CYR" w:hAnsi="Times New Roman CYR" w:cs="Times New Roman CYR"/>
                <w:sz w:val="24"/>
                <w:szCs w:val="24"/>
              </w:rPr>
              <w:t>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iз законодавством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членам наглядової ради не складався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w:t>
      </w:r>
      <w:r>
        <w:rPr>
          <w:rFonts w:ascii="Times New Roman CYR" w:hAnsi="Times New Roman CYR" w:cs="Times New Roman CYR"/>
          <w:b/>
          <w:bCs/>
          <w:sz w:val="24"/>
          <w:szCs w:val="24"/>
        </w:rPr>
        <w:t>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Костирко Iгор Григорович</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невиконавчий директор</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 179559,55</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w:t>
            </w:r>
            <w:r>
              <w:rPr>
                <w:rFonts w:ascii="Times New Roman CYR" w:hAnsi="Times New Roman CYR" w:cs="Times New Roman CYR"/>
                <w:sz w:val="24"/>
                <w:szCs w:val="24"/>
              </w:rPr>
              <w:t xml:space="preserve">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w:t>
            </w:r>
            <w:r>
              <w:rPr>
                <w:rFonts w:ascii="Times New Roman CYR" w:hAnsi="Times New Roman CYR" w:cs="Times New Roman CYR"/>
                <w:sz w:val="24"/>
                <w:szCs w:val="24"/>
              </w:rPr>
              <w:t xml:space="preserve">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iз законодавством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членам наглядової ради не складався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Титикало </w:t>
            </w:r>
            <w:r>
              <w:rPr>
                <w:rFonts w:ascii="Times New Roman CYR" w:hAnsi="Times New Roman CYR" w:cs="Times New Roman CYR"/>
                <w:sz w:val="24"/>
                <w:szCs w:val="24"/>
              </w:rPr>
              <w:t>Лариса Михайлiвна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невиконавчий директор</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 179559,55</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w:t>
            </w:r>
            <w:r>
              <w:rPr>
                <w:rFonts w:ascii="Times New Roman CYR" w:hAnsi="Times New Roman CYR" w:cs="Times New Roman CYR"/>
                <w:sz w:val="24"/>
                <w:szCs w:val="24"/>
              </w:rPr>
              <w:t>шова</w:t>
            </w:r>
            <w:r>
              <w:rPr>
                <w:rFonts w:ascii="Times New Roman CYR" w:hAnsi="Times New Roman CYR" w:cs="Times New Roman CYR"/>
                <w:sz w:val="24"/>
                <w:szCs w:val="24"/>
              </w:rPr>
              <w:tab/>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w:t>
            </w:r>
            <w:r>
              <w:rPr>
                <w:rFonts w:ascii="Times New Roman CYR" w:hAnsi="Times New Roman CYR" w:cs="Times New Roman CYR"/>
                <w:sz w:val="24"/>
                <w:szCs w:val="24"/>
              </w:rPr>
              <w:t>ховували змінну частину винагороди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iз законодавством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членам наглядової ради не складався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Пирiг Ром</w:t>
            </w:r>
            <w:r>
              <w:rPr>
                <w:rFonts w:ascii="Times New Roman CYR" w:hAnsi="Times New Roman CYR" w:cs="Times New Roman CYR"/>
                <w:sz w:val="24"/>
                <w:szCs w:val="24"/>
              </w:rPr>
              <w:t>ан Романович</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Посада</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невиконавчий директор</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у національній або іноземній валюті, яку виплатили (мають виплатити</w:t>
            </w:r>
            <w:r>
              <w:rPr>
                <w:rFonts w:ascii="Times New Roman CYR" w:hAnsi="Times New Roman CYR" w:cs="Times New Roman CYR"/>
                <w:sz w:val="24"/>
                <w:szCs w:val="24"/>
              </w:rPr>
              <w:t>)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 179559,55</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w:t>
            </w:r>
            <w:r>
              <w:rPr>
                <w:rFonts w:ascii="Times New Roman CYR" w:hAnsi="Times New Roman CYR" w:cs="Times New Roman CYR"/>
                <w:sz w:val="24"/>
                <w:szCs w:val="24"/>
              </w:rPr>
              <w:t>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Виплатили: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Мають виплатити: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Прийнято рішення про виплату: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Грошова</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Негрошова</w:t>
            </w:r>
            <w:r>
              <w:rPr>
                <w:rFonts w:ascii="Times New Roman CYR" w:hAnsi="Times New Roman CYR" w:cs="Times New Roman CYR"/>
                <w:sz w:val="24"/>
                <w:szCs w:val="24"/>
              </w:rPr>
              <w:tab/>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Виплатили: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Мають виплатити: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Прийнято рішення про виплату: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Критерії оцінки ефективності, за якими нара</w:t>
            </w:r>
            <w:r>
              <w:rPr>
                <w:rFonts w:ascii="Times New Roman CYR" w:hAnsi="Times New Roman CYR" w:cs="Times New Roman CYR"/>
                <w:sz w:val="24"/>
                <w:szCs w:val="24"/>
              </w:rPr>
              <w:t>ховували змінну частину винагороди</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Вiдсутнi</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Згiдно iз законодавством</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про винагороду членам нагля</w:t>
            </w:r>
            <w:r>
              <w:rPr>
                <w:rFonts w:ascii="Times New Roman CYR" w:hAnsi="Times New Roman CYR" w:cs="Times New Roman CYR"/>
                <w:sz w:val="24"/>
                <w:szCs w:val="24"/>
              </w:rPr>
              <w:t>дової ради не складався</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Частина 14. Інформація від суб'єкта аудиторської діяльності з урахуванням вимог, передбачених пунктом 45 Положення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зi складанням Компанiєю звiту про корпоративне управлiння вiдповiдно до вимог законодавства, повiдомляємо наступне:</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даними перев</w:t>
      </w:r>
      <w:r>
        <w:rPr>
          <w:rFonts w:ascii="Times New Roman CYR" w:hAnsi="Times New Roman CYR" w:cs="Times New Roman CYR"/>
          <w:sz w:val="24"/>
          <w:szCs w:val="24"/>
        </w:rPr>
        <w:t>iрки iнформацiя, зазначена у пунктах 1-4 частини третьої статтi 127 Закону України №3480 та iнформацiя, зазначена у пунктах 1-5 статтi 43 Роздiлу II Рiшення 608, є достовiрною та наведена у звiтi про корпоративне управлiння (Примiтка 101608);</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нашу думку</w:t>
      </w:r>
      <w:r>
        <w:rPr>
          <w:rFonts w:ascii="Times New Roman CYR" w:hAnsi="Times New Roman CYR" w:cs="Times New Roman CYR"/>
          <w:sz w:val="24"/>
          <w:szCs w:val="24"/>
        </w:rPr>
        <w:t>, iнформацiя, зазначена у пунктах 5-9 частини третьої статтi 127 Закону України №3480 та iнформацiя, зазначена у пунктах 6-11 статтi 43 Роздiлу II Рiшення 608, а саме: опис основних характеристик систем внутрiшнього контролю й управлiння ризиками Компанiї;</w:t>
      </w:r>
      <w:r>
        <w:rPr>
          <w:rFonts w:ascii="Times New Roman CYR" w:hAnsi="Times New Roman CYR" w:cs="Times New Roman CYR"/>
          <w:sz w:val="24"/>
          <w:szCs w:val="24"/>
        </w:rPr>
        <w:t xml:space="preserve"> перелiк структурних пiдроздiлiв Компанiї, якi здiйснюють ключовi обов'язки щодо забезпечення роботи систем внутрiшнього контролю i управлiння ризиками; перелiк осiб, якi прямо або опосередковано є власниками значного пакета акцiй Компанiї; iнформацiя про </w:t>
      </w:r>
      <w:r>
        <w:rPr>
          <w:rFonts w:ascii="Times New Roman CYR" w:hAnsi="Times New Roman CYR" w:cs="Times New Roman CYR"/>
          <w:sz w:val="24"/>
          <w:szCs w:val="24"/>
        </w:rPr>
        <w:t>наявнiсть/вiдсутнiсть затвердженої декларацiї схильностi до ризикiв Компанiї, а також опис ключових положень декларацiї схильностi до ризикiв Компанiї; iнформацiя про будь-якi обмеження прав участi та голосування акцiонерiв на загальних зборах Компанiї; по</w:t>
      </w:r>
      <w:r>
        <w:rPr>
          <w:rFonts w:ascii="Times New Roman CYR" w:hAnsi="Times New Roman CYR" w:cs="Times New Roman CYR"/>
          <w:sz w:val="24"/>
          <w:szCs w:val="24"/>
        </w:rPr>
        <w:t>рядок призначення та звiльнення посадових осiб та повноваження посадових осiб Компанiї, наведена у фiнансовiй звiтностi, у звiтi про управлiння та звiтi про корпоративне управлiння, не суперечать iнформацiї, отриманiй нами пiд час аудиту фiнансової звiтнос</w:t>
      </w:r>
      <w:r>
        <w:rPr>
          <w:rFonts w:ascii="Times New Roman CYR" w:hAnsi="Times New Roman CYR" w:cs="Times New Roman CYR"/>
          <w:sz w:val="24"/>
          <w:szCs w:val="24"/>
        </w:rPr>
        <w:t>тi Компанiї.</w:t>
      </w:r>
    </w:p>
    <w:p w:rsidR="00000000" w:rsidRDefault="00F86A45">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
        <w:gridCol w:w="4700"/>
        <w:gridCol w:w="5000"/>
      </w:tblGrid>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Оцінка діяльності щодо захисту довкілля та соціальної відповідальності за звітний період:</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Продовження роботи над впровадженням практик ресурсозбереження на фабрицi.</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Вдосконалення технологiї виготовлення туалетного паперу з вторинної сировини - макулатури.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Впровадження iнiцiатив зi збереження та захисту навколишнього середовища.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ризики і виклики щодо захисту довкілля та соціальної відповідальності</w:t>
            </w:r>
            <w:r>
              <w:rPr>
                <w:rFonts w:ascii="Times New Roman CYR" w:hAnsi="Times New Roman CYR" w:cs="Times New Roman CYR"/>
                <w:sz w:val="24"/>
                <w:szCs w:val="24"/>
              </w:rPr>
              <w:t>, плани щодо їх вирішення, а також їх вплив на досягнення стратегічних цілей:</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Вiйськовi дiї</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Падiння економiки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Перебої з постачання електроенергiї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Забруднення навколишнього середовища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Пiдтримка ЗСУ для змiцнення обороноздатностi та наближення перемоги над агресором</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Оптимiзацiя бiзнес-процесiв, монiторинг цiн на продукцiю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Впровадження альтернативних джерел електроенергiї (встановлення генераторiв)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продовження ро</w:t>
            </w:r>
            <w:r>
              <w:rPr>
                <w:rFonts w:ascii="Times New Roman CYR" w:hAnsi="Times New Roman CYR" w:cs="Times New Roman CYR"/>
                <w:sz w:val="24"/>
                <w:szCs w:val="24"/>
              </w:rPr>
              <w:t xml:space="preserve">боти по впровадженню екологiчно чистих технологiй та рiшень. Серед ключових iнiцiатив: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замкнута система очищення промислової води;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ефективна система збору та утилiзацiї вiдходiв;</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зменшення впливу на атмосферне повiтря, воднi ресурси та грунти.</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положення політики з питань захисту довкілля та соціальної відповідальності:</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рамках корпоративно-соцiальної вiдповiдальностi ми реалiзуємо низку iнiцiатив, спрямованих на: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покращення якостi життя спiвробiтникiв та їхнiх родин;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дотримання трудових прав та соцiальних гарантiй;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створення безпечних i комфортних умов працi;</w:t>
            </w:r>
            <w:r>
              <w:rPr>
                <w:rFonts w:ascii="Times New Roman CYR" w:hAnsi="Times New Roman CYR" w:cs="Times New Roman CYR"/>
                <w:sz w:val="24"/>
                <w:szCs w:val="24"/>
              </w:rPr>
              <w:t xml:space="preserve">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розвиток регiону мiсцезнаходження компанiї та пiдвищення добробуту мiсцевого населення;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пiдтримку екологiчної стабiльностi та впровадження енергоефективних рiшень;</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змiцнення корпоративного iмiджу, збiльшення нематерiальних активiв i довiри суспiльства.</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Питання щодо захисту довкiлля та соцiальної вiдповiдальностi Радою директорiв не розглядалися</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Питання щодо захисту довкiлля та соцiальної вiдповiдальностi Радою директорiв не розглядалися</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ключових стейкхолдерів, на яких має вплив діяльність особи із за</w:t>
            </w:r>
            <w:r>
              <w:rPr>
                <w:rFonts w:ascii="Times New Roman CYR" w:hAnsi="Times New Roman CYR" w:cs="Times New Roman CYR"/>
                <w:sz w:val="24"/>
                <w:szCs w:val="24"/>
              </w:rPr>
              <w:t>значенням обґрунтування в чому саме полягає такий вплив:</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Гнiздичiвська територiальна громада - економiчний розвиток, гуманiтарна пiдтримка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Споживачi продукцiї - якiсть продукту та вiдповiдальний маркетинг</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Спiвробiтники - iнклюзивне середовище, розвиток, безпека, добробут та залученiсть</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Партнери - об'єднання зусиль перед викликами, реалiзацiя цiлей сталого розвитку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Органи влади - законодавство, податки, екологiя, </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Постачальники - прозорi та че</w:t>
            </w:r>
            <w:r>
              <w:rPr>
                <w:rFonts w:ascii="Times New Roman CYR" w:hAnsi="Times New Roman CYR" w:cs="Times New Roman CYR"/>
                <w:sz w:val="24"/>
                <w:szCs w:val="24"/>
              </w:rPr>
              <w:t>снi закупiвлi, можливостi для колаборацiй та розвитку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Клiєнти - якiсть продукту та сервiсу, продажi</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Акцiонери - корпоративне зростання, вчасне розкриття iнформацiї</w:t>
            </w:r>
            <w:r>
              <w:rPr>
                <w:rFonts w:ascii="Times New Roman CYR" w:hAnsi="Times New Roman CYR" w:cs="Times New Roman CYR"/>
                <w:sz w:val="24"/>
                <w:szCs w:val="24"/>
              </w:rPr>
              <w:tab/>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Органи влади (державнi, обласнi, мiськi представники органiв влади) - здiйснюють законодавче та нормативне рег</w:t>
            </w:r>
            <w:r>
              <w:rPr>
                <w:rFonts w:ascii="Times New Roman CYR" w:hAnsi="Times New Roman CYR" w:cs="Times New Roman CYR"/>
                <w:sz w:val="24"/>
                <w:szCs w:val="24"/>
              </w:rPr>
              <w:t>улювання дiяльностi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Партнери (ключовi клiєнти, дистриб'ютори) - здiйснюють оптову та роздрiбну торгiвлю продукцiєю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Споживачi - надають зворотнiй зв'язок (скарги) щодо якостi продукцiї, задають тренди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Спiвробiтники - впливають на розвиток Товариства та досягнення цiлей Товариства</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Постачальники - впливають на безперервнiсть процесiв та собiвартiсть продукцiї</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положення політики щодо взаємодії зі стейкхолдерами, у тому числі акціонерами</w:t>
            </w:r>
            <w:r>
              <w:rPr>
                <w:rFonts w:ascii="Times New Roman CYR" w:hAnsi="Times New Roman CYR" w:cs="Times New Roman CYR"/>
                <w:sz w:val="24"/>
                <w:szCs w:val="24"/>
              </w:rPr>
              <w:t>/учасниками:</w:t>
            </w:r>
          </w:p>
        </w:tc>
      </w:tr>
      <w:tr w:rsidR="00000000">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Такi положення вiдсутнi</w:t>
            </w:r>
          </w:p>
        </w:tc>
      </w:tr>
    </w:tbl>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Дивіденди</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виплату дивідендів та інших доходів за цінними паперами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3000"/>
        <w:gridCol w:w="2500"/>
        <w:gridCol w:w="2500"/>
      </w:tblGrid>
      <w:tr w:rsidR="00000000">
        <w:tblPrEx>
          <w:tblCellMar>
            <w:top w:w="0" w:type="dxa"/>
            <w:bottom w:w="0" w:type="dxa"/>
          </w:tblCellMar>
        </w:tblPrEx>
        <w:trPr>
          <w:trHeight w:val="200"/>
        </w:trPr>
        <w:tc>
          <w:tcPr>
            <w:tcW w:w="5000" w:type="dxa"/>
            <w:gridSpan w:val="2"/>
            <w:vMerge w:val="restart"/>
            <w:tcBorders>
              <w:top w:val="single" w:sz="6" w:space="0" w:color="auto"/>
              <w:bottom w:val="nil"/>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Інформація про виплату дивідендів</w:t>
            </w:r>
          </w:p>
        </w:tc>
        <w:tc>
          <w:tcPr>
            <w:tcW w:w="5000" w:type="dxa"/>
            <w:gridSpan w:val="2"/>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звітному періоді</w:t>
            </w:r>
          </w:p>
        </w:tc>
      </w:tr>
      <w:tr w:rsidR="00000000">
        <w:tblPrEx>
          <w:tblCellMar>
            <w:top w:w="0" w:type="dxa"/>
            <w:bottom w:w="0" w:type="dxa"/>
          </w:tblCellMar>
        </w:tblPrEx>
        <w:trPr>
          <w:trHeight w:val="200"/>
        </w:trPr>
        <w:tc>
          <w:tcPr>
            <w:tcW w:w="5000" w:type="dxa"/>
            <w:gridSpan w:val="2"/>
            <w:vMerge/>
            <w:tcBorders>
              <w:top w:val="nil"/>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простими акціями</w:t>
            </w:r>
          </w:p>
        </w:tc>
        <w:tc>
          <w:tcPr>
            <w:tcW w:w="2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привілейованими акціями</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Сума нарахованих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12 186 300</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Нараховані дивіденди на одну акцію, грн.</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Сума виплачених/перерахованих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12 186 300</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28.04.2025</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14.05.2025</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Спосіб виплати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безпосередньо акцiонерам</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(дати) перерахування дивідендів через депозитарну систему із зазначенням сум (грн) перерахованих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звітного періоду: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результатами попереднього періоду</w:t>
            </w:r>
            <w:r>
              <w:rPr>
                <w:rFonts w:ascii="Times New Roman CYR" w:hAnsi="Times New Roman CYR" w:cs="Times New Roman CYR"/>
              </w:rPr>
              <w:t xml:space="preserve">: </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звітного періоду: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попереднього періоду: </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(дати) перерахування/ відправлення дивідендів безпосередньо акціонерам із зазначенням сум (грн) перерахованих/відправлених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звітного періоду: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результатами попереднього періоду: 30.05.2025, 1 096 767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12.06.2025, 29 679,03</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13.06.2025, 47 414,39</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16.06.2025, 31 893,87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17.06.2025, 122 416,04</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18.06.2025, 1 847 030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19.06.2025, 31 931,99</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20.06.2025, 1 779 472,08</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24.06.2025, 50 000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25.06.2025, 45 827,6</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27.06.2025, 741 333,54</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03.07.2025, 858 057,75</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07.07.2025, 626,27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08.07.2025, 1 220 233,27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09.07.2025, 57 703,83</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14.07.202</w:t>
            </w:r>
            <w:r>
              <w:rPr>
                <w:rFonts w:ascii="Times New Roman CYR" w:hAnsi="Times New Roman CYR" w:cs="Times New Roman CYR"/>
              </w:rPr>
              <w:t>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16.07.2025, 7 857,91</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24.07.2025, 50 000</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25.07.2025, 157 263,47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11.08.2025, 15 222,77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12.08.2025, 23 111,5</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13.08.2025, 2 165 208,57</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27.08.2025, 18 771,59</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01.09.2025, 19 907,85</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03.09.2025, 7 703,83</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18.11.2025, </w:t>
            </w:r>
            <w:r>
              <w:rPr>
                <w:rFonts w:ascii="Times New Roman CYR" w:hAnsi="Times New Roman CYR" w:cs="Times New Roman CYR"/>
              </w:rPr>
              <w:t>7 703,83</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26.11.2025, 7 703,83</w:t>
            </w:r>
          </w:p>
        </w:tc>
        <w:tc>
          <w:tcPr>
            <w:tcW w:w="2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звітного періоду: </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За результатами попереднього періоду: </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8000" w:type="dxa"/>
            <w:gridSpan w:val="3"/>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Рiчними дистанцiйними Загальними зборами акцiонерiв Акцiонерного товариства "Кохавинська паперова фабрика", якi були проведенi 03.04.2025 року (протокол № 35 вiд 14.04.2025 року) прийнято рiшення здiйснити виплату дивiдендiв за простими iменними акцiями То</w:t>
            </w:r>
            <w:r>
              <w:rPr>
                <w:rFonts w:ascii="Times New Roman CYR" w:hAnsi="Times New Roman CYR" w:cs="Times New Roman CYR"/>
              </w:rPr>
              <w:t>вариства з чистого прибутку, отриманого Товариством за результатами дiяльностi у 2024 роцi, у сумi 12 186 300 (дванадцять мiльйонiв сто вiсiмдесят шiсть тисяч триста) гривень. Затвердити розмiр дивiдендiв на 1 (одну) просту iменну акцiю у сумi 4 грн 28 коп</w:t>
            </w:r>
            <w:r>
              <w:rPr>
                <w:rFonts w:ascii="Times New Roman CYR" w:hAnsi="Times New Roman CYR" w:cs="Times New Roman CYR"/>
              </w:rPr>
              <w:t xml:space="preserve"> (чотири гривнi 28 копiйок). Дивiденди виплатити безпосередньо акцiонерам в порядку, встановленому Радою директорiв Товариства. Рада директорiв</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Акцiонерного товариства "Кохавинська паперова фабрика" 28.04.2025 року (Протокол № 2) прийняла наступне рiшення:</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Встановити дату складання перелiку осiб, якi мають право на отримання дивiдендiв: 14 травня 2025 року.</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Виплату дивiдендiв здiйснити з 23.05.2025 до 02.10.2025 включно.</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Встановити наступний порядок виплати дивiдендiв:</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дивiденди виплачуються в гр</w:t>
            </w:r>
            <w:r>
              <w:rPr>
                <w:rFonts w:ascii="Times New Roman CYR" w:hAnsi="Times New Roman CYR" w:cs="Times New Roman CYR"/>
              </w:rPr>
              <w:t>ошовiй формi шляхом направлення дивiдендiв безпосередньо акцiонерам згiдно з перелiком осiб, якi мають право на отримання дивiдендiв, складеним станом на 14.05.2025, вiдповiдно до кiлькостi належних їм акцiй на дату складання перелiку. Розмiр дивiдендiв на</w:t>
            </w:r>
            <w:r>
              <w:rPr>
                <w:rFonts w:ascii="Times New Roman CYR" w:hAnsi="Times New Roman CYR" w:cs="Times New Roman CYR"/>
              </w:rPr>
              <w:t xml:space="preserve"> одну акцiю становить 4 грн 28 коп. (чотири гривнi 28 коп.). Розмiр дивiдендiв, якi пiдлягають виплатi акцiонеру, встановлюється шляхом множення розмiру дивiдендiв на одну акцiю на загальну кiлькiсть належних акцiонеру акцiй станом на 14.05.2025;</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виплата</w:t>
            </w:r>
            <w:r>
              <w:rPr>
                <w:rFonts w:ascii="Times New Roman CYR" w:hAnsi="Times New Roman CYR" w:cs="Times New Roman CYR"/>
              </w:rPr>
              <w:t xml:space="preserve"> дивiдендiв здiйснюється шляхом переказу вiдповiдних сум коштiв усiм акцiонерам, зазначеним у перелiку осiб, якi мають право на отримання дивiдендiв, на грошовi рахунки акцiонерiв (банкiвськi рахунки, iнформацiя про якi зазначена в перелiку осiб, якi мають</w:t>
            </w:r>
            <w:r>
              <w:rPr>
                <w:rFonts w:ascii="Times New Roman CYR" w:hAnsi="Times New Roman CYR" w:cs="Times New Roman CYR"/>
              </w:rPr>
              <w:t xml:space="preserve"> право на отримання дивiдендiв).</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якщо перелiк осiб, </w:t>
            </w:r>
            <w:r>
              <w:rPr>
                <w:rFonts w:ascii="Times New Roman CYR" w:hAnsi="Times New Roman CYR" w:cs="Times New Roman CYR"/>
              </w:rPr>
              <w:t>якi мають право на отримання дивiдендiв, не мiстить iнформацiї про банкiвський рахунок, виплата дивiдендiв здiйснюється шляхом перерахування коштiв на грошовi рахунки, банкiвськi реквiзити яких зазначенi в письмовiй заявi акцiонера або шляхом поштових пере</w:t>
            </w:r>
            <w:r>
              <w:rPr>
                <w:rFonts w:ascii="Times New Roman CYR" w:hAnsi="Times New Roman CYR" w:cs="Times New Roman CYR"/>
              </w:rPr>
              <w:t>казiв на адреси акцiонерiв, зазначенi в письмовiй заявi акцiонера, пiсля актуалiзацiї (уточнення) необхiдної iнформацiї особами, якi мають право на отримання дивiдендiв, протягом строку, що встановлений для виплати дивiдендiв. Актуалiзацiя (уточнення) iнфо</w:t>
            </w:r>
            <w:r>
              <w:rPr>
                <w:rFonts w:ascii="Times New Roman CYR" w:hAnsi="Times New Roman CYR" w:cs="Times New Roman CYR"/>
              </w:rPr>
              <w:t>рмацiї щодо грошових рахункiв та/або поштових адрес акцiонерами вiдбувається шляхом надання на адресу Товариства заяви про виплату iз зазначенням реквiзитiв (банкiвських реквiзитiв або адреси) для виплати дивiдендiв;</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витрати, пов'язанi iз перерахуванням </w:t>
            </w:r>
            <w:r>
              <w:rPr>
                <w:rFonts w:ascii="Times New Roman CYR" w:hAnsi="Times New Roman CYR" w:cs="Times New Roman CYR"/>
              </w:rPr>
              <w:t>дивiдендiв (на грошовi рахунки або поштовим переказом на адресу), здiйснюються за рахунок Товариства;</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у разi повернення Товариству коштiв, перерахованих акцiонеру згiдно його заяви на грошовий рахунок або поштовим переказом, такi кошти виплачуються вiдпо</w:t>
            </w:r>
            <w:r>
              <w:rPr>
                <w:rFonts w:ascii="Times New Roman CYR" w:hAnsi="Times New Roman CYR" w:cs="Times New Roman CYR"/>
              </w:rPr>
              <w:t>вiдному акцiонеру через депозитарну систему України;</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дивiденди, невиплаченi внаслiдок вiдсутностi заяви акцiонера про виплату чи вiдсутностi коректних даних про банкiвський рахунок та/або поштову адресу акцiонера для переказу дивiдендiв, виплачуються за </w:t>
            </w:r>
            <w:r>
              <w:rPr>
                <w:rFonts w:ascii="Times New Roman CYR" w:hAnsi="Times New Roman CYR" w:cs="Times New Roman CYR"/>
              </w:rPr>
              <w:t>додатковим письмовим запитом акцiонера. Не отриманi акцiонерами суми дивiдендiв облiковуються Товариством як кредиторська заборгованiсть перед акцiонерами. На суму невиплачених та неотриманих акцiонерами дивiдендiв проценти не нараховуються.</w:t>
            </w:r>
          </w:p>
          <w:p w:rsidR="00000000" w:rsidRDefault="00F86A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4. В строк до </w:t>
            </w:r>
            <w:r>
              <w:rPr>
                <w:rFonts w:ascii="Times New Roman CYR" w:hAnsi="Times New Roman CYR" w:cs="Times New Roman CYR"/>
              </w:rPr>
              <w:t>23.05.2025 (включно) повiдомити осiб, якi мають право на отримання дивiдендiв, про дату, розмiр, порядок та строк їх виплати шляхом розмiщення на власному вебсайтi АТ "Кохавинська ПФ"</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Перелік посилань на внутрішні документи особи, що розміщені на веб</w:t>
      </w:r>
      <w:r>
        <w:rPr>
          <w:rFonts w:ascii="Times New Roman CYR" w:hAnsi="Times New Roman CYR" w:cs="Times New Roman CYR"/>
          <w:b/>
          <w:bCs/>
          <w:i/>
          <w:iCs/>
          <w:sz w:val="24"/>
          <w:szCs w:val="24"/>
        </w:rPr>
        <w:t>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200"/>
        <w:gridCol w:w="3200"/>
        <w:gridCol w:w="3100"/>
      </w:tblGrid>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вебсайту особи, за якою розміщено внутрішній документ</w:t>
            </w:r>
          </w:p>
        </w:tc>
      </w:tr>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Статут Акцiонерного товраиства "Кохавинська паперова фабрика"</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Визначає загально-правовi, соцiально-економiчнi та органiзацiйнi основи створення, дiяльностi та припинення дiяльностi Товариства, а також права та обов'язки акцiонерiв Товариства.</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https://www.kpf.ua/wp-content/uploads/2025/06/statut-2025-nova-redakcziya.p</w:t>
            </w:r>
            <w:r>
              <w:rPr>
                <w:rFonts w:ascii="Times New Roman CYR" w:hAnsi="Times New Roman CYR" w:cs="Times New Roman CYR"/>
              </w:rPr>
              <w:t>df</w:t>
            </w:r>
          </w:p>
        </w:tc>
      </w:tr>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Положення про Раду директорiв Акцiонерного твоариства "Кохавинська паперова фабрика"</w:t>
            </w:r>
          </w:p>
        </w:tc>
        <w:tc>
          <w:tcPr>
            <w:tcW w:w="32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Положення визначає правовий статус, склад, строк повноважень, порядок формування та органiзацiю роботи ради директорiв Товариства, а також тправа, обов'язки та вiдповiдальнiсть ради директорiв</w:t>
            </w:r>
          </w:p>
        </w:tc>
        <w:tc>
          <w:tcPr>
            <w:tcW w:w="31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https://www.kpf.ua/wp-content/uploads/2025/06/polozhennya-pro-r</w:t>
            </w:r>
            <w:r>
              <w:rPr>
                <w:rFonts w:ascii="Times New Roman CYR" w:hAnsi="Times New Roman CYR" w:cs="Times New Roman CYR"/>
              </w:rPr>
              <w:t>adu-dyrektoriv.pdf</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Проміжна інформація</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https://www.kpf.ua/wp-content/uploads/2025/11/promizhnyj-zvit-emitenta-za-1-kvartal-2022-roku.zip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https://www.kpf.ua/wp-content/uploads/2025/11/promizhnyj-zvit-emitenta-za-2-kvartal-2022-roku.zip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https://www.kpf.ua/wp-content/uploads/2025/11/promizhnyj-zvit-emitenta-za-3-kvartal-2022-roku.zip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w:t>
      </w:r>
      <w:r>
        <w:rPr>
          <w:rFonts w:ascii="Times New Roman CYR" w:hAnsi="Times New Roman CYR" w:cs="Times New Roman CYR"/>
          <w:sz w:val="24"/>
          <w:szCs w:val="24"/>
        </w:rPr>
        <w:t>t-emitenta-za-4-kvartal-2022-roku.zip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https://www.kpf.ua/wp-content/uploads/2025/11/promizhnyj-zvit-emitenta-za-1-kvartal-2023-roku.zip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https://www.kpf.ua/wp-content/uploads/2025/11/promizhnyj-zvit-emitenta-za-2-kvartal-2023-roku.zip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https://www.kpf.ua/wp-content/uploads/2025/11/promizhnyj-zvit-emitenta-za-3-kvartal-2023-roku.zip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https://www.kpf.ua/wp-content/uploads/2025/11/promizhnyj-zvit-emitenta-za-4-kvartal-2023-roku.zip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w:t>
      </w:r>
      <w:r>
        <w:rPr>
          <w:rFonts w:ascii="Times New Roman CYR" w:hAnsi="Times New Roman CYR" w:cs="Times New Roman CYR"/>
          <w:sz w:val="24"/>
          <w:szCs w:val="24"/>
        </w:rPr>
        <w:t>t-emitenta-za-3-kvartal-2021-roku.zip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https://www.kpf.ua/wp-content/uploads/2025/11/promizhnyj-zvit-emitenta-za-4-kvartal-2021-roku.zip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https://www.kpf.ua/wp-content/uploads/2025/12/promizhnyj-zvit-emitenta-za-1-kvartal-2024-roku.zip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w:t>
      </w:r>
      <w:r>
        <w:rPr>
          <w:rFonts w:ascii="Times New Roman CYR" w:hAnsi="Times New Roman CYR" w:cs="Times New Roman CYR"/>
          <w:sz w:val="24"/>
          <w:szCs w:val="24"/>
        </w:rPr>
        <w:t>content/uploads/2025/12/promizhnyj-zvit-emitenta-za-2-kvartal-2024-roku.zip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https://www.kpf.ua/wp-content/uploads/2025/12/promizhnyj-zvit-emitenta-za-3-kvartal-2024-roku.zip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https://www.kpf.ua/wp-content/uploads/2025/12/promizhnyj-zvit-emitenta-za-4-kvarta</w:t>
      </w:r>
      <w:r>
        <w:rPr>
          <w:rFonts w:ascii="Times New Roman CYR" w:hAnsi="Times New Roman CYR" w:cs="Times New Roman CYR"/>
          <w:sz w:val="24"/>
          <w:szCs w:val="24"/>
        </w:rPr>
        <w:t>l-2024-roku.zip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https://www.kpf.ua/wp-content/uploads/2025/12/promizhnyj-zvit-emitenta-za-1-kvartal-2025-roku.zip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https://www.kpf.ua/wp-content/uploads/2025/12/promizhnyj-zvit-emitenta-za-2-kvartal-2025-roku.zip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https://www.kpf.ua/wp-content/uploads/2025/1</w:t>
      </w:r>
      <w:r>
        <w:rPr>
          <w:rFonts w:ascii="Times New Roman CYR" w:hAnsi="Times New Roman CYR" w:cs="Times New Roman CYR"/>
          <w:sz w:val="24"/>
          <w:szCs w:val="24"/>
        </w:rPr>
        <w:t>2/promizhnyj-zvit-emitenta-za-3-kvartal-2025-roku.zip</w:t>
      </w: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https://www.kpf.ua/wp-content/uploads/2026/01/promizhnyj-zvit-emitenta-za-4-kvartal-2025-roku.zip</w:t>
      </w: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C814A6" w:rsidRDefault="00C814A6">
      <w:pPr>
        <w:widowControl w:val="0"/>
        <w:autoSpaceDE w:val="0"/>
        <w:autoSpaceDN w:val="0"/>
        <w:adjustRightInd w:val="0"/>
        <w:spacing w:after="0" w:line="240" w:lineRule="auto"/>
        <w:rPr>
          <w:rFonts w:ascii="Times New Roman CYR" w:hAnsi="Times New Roman CYR" w:cs="Times New Roman CYR"/>
          <w:b/>
          <w:bCs/>
          <w:i/>
          <w:iCs/>
          <w:sz w:val="24"/>
          <w:szCs w:val="24"/>
        </w:rPr>
      </w:pPr>
    </w:p>
    <w:p w:rsidR="00000000" w:rsidRDefault="00F86A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w:t>
            </w:r>
            <w:r>
              <w:rPr>
                <w:rFonts w:ascii="Times New Roman CYR" w:hAnsi="Times New Roman CYR" w:cs="Times New Roman CYR"/>
              </w:rPr>
              <w:t>міщена інформація, яка розкривалася протягом звітного року</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https://www.kpf.ua/wp-content/uploads/2025/02/special-information-details-on-changes-in-the-composition-of-the-issuers-officers.zip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https://www.kpf.ua/wp-content/uploads/2025/02/notice-of-the-annual-general-meeting-of-shareholders.pdf</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https://smida.gov.ua/db/feed/125661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адреси власного веб-сайту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https://www.kpf.ua/wp-content/uploads/2025/04/os</w:t>
            </w:r>
            <w:r>
              <w:rPr>
                <w:rFonts w:ascii="Times New Roman CYR" w:hAnsi="Times New Roman CYR" w:cs="Times New Roman CYR"/>
              </w:rPr>
              <w:t>oblyva-informacziya.-vidomosti-pro-zminu-elektronnoyi-poshty-yaka-ye-oficzijnym-kanalom-zvyazku-z-emitentom.pdf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https://www.kpf.ua/wp-content/uploads/2025/04/osoblyva-informacziya.vidomosti-pro-zminu-skladu-posadovyh-osib-emitenta.pdf</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https://smida.gov.ua/db/feed/showform/deal_ba/128873</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попереднє надання згоди на вчинення значн</w:t>
            </w:r>
            <w:r>
              <w:rPr>
                <w:rFonts w:ascii="Times New Roman CYR" w:hAnsi="Times New Roman CYR" w:cs="Times New Roman CYR"/>
              </w:rPr>
              <w:t>их правочинів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https://www.kpf.ua/wp-content/uploads/2025/04/osoblyva-informacziya.vidomosti-pro-pryjnyattya-rishennya-pro-poperednye-nadannya-zgody-na-vchynennya-znachnyh-pravochyniv-1.pdf</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https://smida.gov.ua/db/feed/showform/person_o/128872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виплату дивідендів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https://www.kpf.ua/wp-content/uploads/2025/04/osoblyva-informacziya.vidomosti-pro-pryjnyattya-rishennya-pro-vyplatu-dyvidendiv.pdf</w:t>
            </w: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https://smida.gov.ua/db/feed/showform/divpaydc/129627</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https://www.kpf.ua/dlya-akczioneriv-2/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https://www.kpf.ua/wp-content/uploads/2025/12/povidomlennya-pro-nesvoyechasne-rozkryttya-osoblyvoyi-informacziyi.zip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виплату дивідендів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https://www.kpf.ua/wp-content/uploads/2025/12/osoblyva-informacziya.-vidomosti-pro-pryjnyattya-rishennya-pro-vyplatu-dyvidendiv.zip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Спростування</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https://www.kpf.ua/wp-content/uploads/2025/12/povidomlennya-pro-rozkryttya-nedostovirnoyi-regulo</w:t>
            </w:r>
            <w:r>
              <w:rPr>
                <w:rFonts w:ascii="Times New Roman CYR" w:hAnsi="Times New Roman CYR" w:cs="Times New Roman CYR"/>
              </w:rPr>
              <w:t>vanoyi-informacziyi.zip</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000000" w:rsidRDefault="00F86A45">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2022 рiк</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28.11.2025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https://www.kpf.ua/wp-content/uploads/2025/11/richnyj-zvit-emitenta-za-2022-rik.zip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2023 рiк</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28.11.2025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https://www.kpf.ua/wp-content/uploads/2025/11/richnyj-zvit-emitenta-za-2023-rik.zip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2024 рiк</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t>
            </w:r>
            <w:r>
              <w:rPr>
                <w:rFonts w:ascii="Times New Roman CYR" w:hAnsi="Times New Roman CYR" w:cs="Times New Roman CYR"/>
              </w:rPr>
              <w:t>w.kpf.ua/wp-content/uploads/2025/12/richnyj-zvit-emitenta-za-2024-rik.zip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2021 рiк</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28.11.2025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https://www.kpf.ua/wp-content/uploads/2025/11/richnyj-zvit-emitenta-za-2021-rik.zip</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Проткол загальних зборiв акцiонерiв</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https://www.kpf.ua/wp-content/uploads/2025/04/protokol-richnyh-dystanczijnyh-zagalnyh-zboriv-akczioneriv.pdf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Проткол про пiдсумки голосування №1</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https://www.kpf.ua/wp-content/uploads/2025/04/protokol-richnyh-dystanczijnyh-zagalnyh-zboriv-akczioneriv.pdf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Проткол про пiдсумки голосування №2</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14.04.2025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https://www.kpf.ua/wp-content/uploads/2025/04/protokol-pro-pidsumky-golosuvannya-%E2%84%962.pdf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для голосування №1</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24.03.2025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https://www.kpf.ua/wp-content/uploads/2025/03/ballot-1-for-voting-on-other-agenda-items-except-for-the-election-of-the-companys-governing-bodies.pdf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для голосування №2</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24.03.2025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https://www.kpf.ua/wp-content/uploads/2025/03/ballot-2-for-voting-on-the-election-of-the-companys-governing-bodies-excluding-cumulative-voting.pdf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Перелiк документiв, що має надати акцiонер (представник акцiонера) для його участi у загальних зборах</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https://www.kpf.ua/wp-content/uploads/2025/02/list-of-documents-to-be-provided-by-the-shareholder.pdf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Iнформацiя про загальну кiлькiсть акцiй та голосуючих акцiй</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https://www.kpf.ua/wp-content/uploads/2025/02/information-on-the-to</w:t>
            </w:r>
            <w:r>
              <w:rPr>
                <w:rFonts w:ascii="Times New Roman CYR" w:hAnsi="Times New Roman CYR" w:cs="Times New Roman CYR"/>
              </w:rPr>
              <w:t>tal-number-of-shares-and-voting-shares.pdf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станом на 01.09.2025</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https://www.kpf.ua/wp-content/uploads/2025/09/struktura-vlasnosti-tovarystva-stanom-na-01.09.2025.pdf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станом на 31.12.2025</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https://www.kpf.ua/wp-content/uploads/2026/01/struktura-vlasnosti-tovarystva-stanom-na-31.12.2025.pdf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станом на 01.09.2025</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01.09.2025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https://www.kpf.ua/wp-content/uploads/2025/09/organizaczijna-struktura-upravlinnya-stanom-na-01.09.2025.pdf</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245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p>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станом на 31.12.2025</w:t>
            </w:r>
          </w:p>
        </w:tc>
        <w:tc>
          <w:tcPr>
            <w:tcW w:w="1500" w:type="dxa"/>
            <w:tcBorders>
              <w:top w:val="single" w:sz="6" w:space="0" w:color="auto"/>
              <w:left w:val="single" w:sz="6" w:space="0" w:color="auto"/>
              <w:bottom w:val="single" w:sz="6" w:space="0" w:color="auto"/>
              <w:right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31.12.2025</w:t>
            </w:r>
          </w:p>
        </w:tc>
        <w:tc>
          <w:tcPr>
            <w:tcW w:w="5500" w:type="dxa"/>
            <w:tcBorders>
              <w:top w:val="single" w:sz="6" w:space="0" w:color="auto"/>
              <w:left w:val="single" w:sz="6" w:space="0" w:color="auto"/>
              <w:bottom w:val="single" w:sz="6" w:space="0" w:color="auto"/>
            </w:tcBorders>
          </w:tcPr>
          <w:p w:rsidR="00000000" w:rsidRDefault="00F86A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https://www.kpf.ua/wp-content/uploads/2026/01/organizaczijna-struktura-upravlinnya-stan</w:t>
            </w:r>
            <w:r>
              <w:rPr>
                <w:rFonts w:ascii="Times New Roman CYR" w:hAnsi="Times New Roman CYR" w:cs="Times New Roman CYR"/>
              </w:rPr>
              <w:t>om-na-31.12.2025.pdf</w:t>
            </w:r>
          </w:p>
        </w:tc>
      </w:tr>
    </w:tbl>
    <w:p w:rsidR="00000000" w:rsidRDefault="00F86A45">
      <w:pPr>
        <w:widowControl w:val="0"/>
        <w:autoSpaceDE w:val="0"/>
        <w:autoSpaceDN w:val="0"/>
        <w:adjustRightInd w:val="0"/>
        <w:spacing w:after="0" w:line="240" w:lineRule="auto"/>
        <w:rPr>
          <w:rFonts w:ascii="Times New Roman CYR" w:hAnsi="Times New Roman CYR" w:cs="Times New Roman CYR"/>
        </w:rPr>
      </w:pPr>
    </w:p>
    <w:p w:rsidR="00F86A45" w:rsidRDefault="00F86A45">
      <w:pPr>
        <w:widowControl w:val="0"/>
        <w:autoSpaceDE w:val="0"/>
        <w:autoSpaceDN w:val="0"/>
        <w:adjustRightInd w:val="0"/>
        <w:spacing w:after="0" w:line="240" w:lineRule="auto"/>
        <w:rPr>
          <w:rFonts w:ascii="Times New Roman CYR" w:hAnsi="Times New Roman CYR" w:cs="Times New Roman CYR"/>
        </w:rPr>
      </w:pPr>
    </w:p>
    <w:sectPr w:rsidR="00F86A45">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A45" w:rsidRDefault="00F86A45" w:rsidP="00C814A6">
      <w:pPr>
        <w:spacing w:after="0" w:line="240" w:lineRule="auto"/>
      </w:pPr>
      <w:r>
        <w:separator/>
      </w:r>
    </w:p>
  </w:endnote>
  <w:endnote w:type="continuationSeparator" w:id="0">
    <w:p w:rsidR="00F86A45" w:rsidRDefault="00F86A45" w:rsidP="00C81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A45" w:rsidRDefault="00F86A45" w:rsidP="00C814A6">
      <w:pPr>
        <w:spacing w:after="0" w:line="240" w:lineRule="auto"/>
      </w:pPr>
      <w:r>
        <w:separator/>
      </w:r>
    </w:p>
  </w:footnote>
  <w:footnote w:type="continuationSeparator" w:id="0">
    <w:p w:rsidR="00F86A45" w:rsidRDefault="00F86A45" w:rsidP="00C814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A6" w:rsidRDefault="00C814A6">
    <w:pPr>
      <w:pStyle w:val="a3"/>
      <w:jc w:val="center"/>
    </w:pPr>
    <w:fldSimple w:instr=" PAGE   \* MERGEFORMAT ">
      <w:r w:rsidR="00F86A45">
        <w:rPr>
          <w:noProof/>
        </w:rPr>
        <w:t>1</w:t>
      </w:r>
    </w:fldSimple>
  </w:p>
  <w:p w:rsidR="00C814A6" w:rsidRDefault="00C814A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hideGrammatical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14A6"/>
    <w:rsid w:val="00572518"/>
    <w:rsid w:val="00C814A6"/>
    <w:rsid w:val="00F86A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14A6"/>
    <w:pPr>
      <w:tabs>
        <w:tab w:val="center" w:pos="4819"/>
        <w:tab w:val="right" w:pos="9639"/>
      </w:tabs>
    </w:pPr>
  </w:style>
  <w:style w:type="character" w:customStyle="1" w:styleId="a4">
    <w:name w:val="Верхний колонтитул Знак"/>
    <w:basedOn w:val="a0"/>
    <w:link w:val="a3"/>
    <w:uiPriority w:val="99"/>
    <w:rsid w:val="00C814A6"/>
  </w:style>
  <w:style w:type="paragraph" w:styleId="a5">
    <w:name w:val="footer"/>
    <w:basedOn w:val="a"/>
    <w:link w:val="a6"/>
    <w:uiPriority w:val="99"/>
    <w:semiHidden/>
    <w:unhideWhenUsed/>
    <w:rsid w:val="00C814A6"/>
    <w:pPr>
      <w:tabs>
        <w:tab w:val="center" w:pos="4819"/>
        <w:tab w:val="right" w:pos="9639"/>
      </w:tabs>
    </w:pPr>
  </w:style>
  <w:style w:type="character" w:customStyle="1" w:styleId="a6">
    <w:name w:val="Нижний колонтитул Знак"/>
    <w:basedOn w:val="a0"/>
    <w:link w:val="a5"/>
    <w:uiPriority w:val="99"/>
    <w:semiHidden/>
    <w:rsid w:val="00C814A6"/>
  </w:style>
  <w:style w:type="table" w:styleId="a7">
    <w:name w:val="Table Grid"/>
    <w:basedOn w:val="a1"/>
    <w:uiPriority w:val="59"/>
    <w:rsid w:val="00C814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81</Pages>
  <Words>100112</Words>
  <Characters>57065</Characters>
  <Application>Microsoft Office Word</Application>
  <DocSecurity>0</DocSecurity>
  <Lines>475</Lines>
  <Paragraphs>313</Paragraphs>
  <ScaleCrop>false</ScaleCrop>
  <Company/>
  <LinksUpToDate>false</LinksUpToDate>
  <CharactersWithSpaces>156864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2026-04-30T11:16:00Z</dcterms:created>
  <dcterms:modified xsi:type="dcterms:W3CDTF">2026-04-30T11:24:00Z</dcterms:modified>
</cp:coreProperties>
</file>